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611505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111760</wp:posOffset>
            </wp:positionV>
            <wp:extent cx="3711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79375</wp:posOffset>
            </wp:positionV>
            <wp:extent cx="37115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ectPr>
          <w:pgSz w:w="11900" w:h="16838" w:orient="portrait"/>
          <w:cols w:equalWidth="0" w:num="1">
            <w:col w:w="11240"/>
          </w:cols>
          <w:pgMar w:left="320" w:top="1192" w:right="339" w:bottom="1093" w:gutter="0" w:footer="0" w:header="0"/>
        </w:sectPr>
      </w:pPr>
    </w:p>
    <w:p>
      <w:pPr>
        <w:spacing w:after="0" w:line="292" w:lineRule="exact"/>
        <w:rPr>
          <w:sz w:val="24"/>
          <w:szCs w:val="24"/>
          <w:color w:val="auto"/>
        </w:rPr>
      </w:pPr>
    </w:p>
    <w:p>
      <w:pPr>
        <w:ind w:left="1280"/>
        <w:spacing w:after="0"/>
        <w:rPr>
          <w:sz w:val="20"/>
          <w:szCs w:val="20"/>
          <w:color w:val="auto"/>
        </w:rPr>
      </w:pPr>
      <w:r>
        <w:rPr>
          <w:rFonts w:ascii="Arial" w:cs="Arial" w:eastAsia="Arial" w:hAnsi="Arial"/>
          <w:sz w:val="14"/>
          <w:szCs w:val="14"/>
          <w:b w:val="1"/>
          <w:bCs w:val="1"/>
          <w:color w:val="auto"/>
        </w:rPr>
        <w:t>(Mark One)</w:t>
      </w:r>
    </w:p>
    <w:p>
      <w:pPr>
        <w:spacing w:after="0" w:line="132" w:lineRule="exact"/>
        <w:rPr>
          <w:sz w:val="24"/>
          <w:szCs w:val="24"/>
          <w:color w:val="auto"/>
        </w:rPr>
      </w:pPr>
    </w:p>
    <w:p>
      <w:pPr>
        <w:ind w:left="1140"/>
        <w:spacing w:after="0" w:line="201" w:lineRule="exact"/>
        <w:rPr>
          <w:sz w:val="20"/>
          <w:szCs w:val="20"/>
          <w:color w:val="auto"/>
        </w:rPr>
      </w:pPr>
      <w:r>
        <w:rPr>
          <w:rFonts w:ascii="MS PGothic" w:cs="MS PGothic" w:eastAsia="MS PGothic" w:hAnsi="MS PGothic"/>
          <w:sz w:val="20"/>
          <w:szCs w:val="20"/>
          <w:color w:val="auto"/>
        </w:rPr>
        <w:t>☒</w:t>
      </w:r>
    </w:p>
    <w:p>
      <w:pPr>
        <w:spacing w:after="0" w:line="144" w:lineRule="exact"/>
        <w:rPr>
          <w:sz w:val="24"/>
          <w:szCs w:val="24"/>
          <w:color w:val="auto"/>
        </w:rPr>
      </w:pPr>
    </w:p>
    <w:p>
      <w:pPr>
        <w:ind w:left="114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ind w:right="1140"/>
        <w:spacing w:after="0" w:line="245" w:lineRule="auto"/>
        <w:rPr>
          <w:sz w:val="20"/>
          <w:szCs w:val="20"/>
          <w:color w:val="auto"/>
        </w:rPr>
      </w:pPr>
      <w:r>
        <w:rPr>
          <w:rFonts w:ascii="Arial" w:cs="Arial" w:eastAsia="Arial" w:hAnsi="Arial"/>
          <w:sz w:val="16"/>
          <w:szCs w:val="16"/>
          <w:b w:val="1"/>
          <w:bCs w:val="1"/>
          <w:color w:val="auto"/>
        </w:rPr>
        <w:t>ANNUAL REPORT PURSUANT TO SECTION 13 OR 15(d) OF THE SECURITIES EXCHANGE ACT OF 1934 FOR THE FISCAL YEAR ENDED DECEMBER 27, 2020</w:t>
      </w:r>
    </w:p>
    <w:p>
      <w:pPr>
        <w:spacing w:after="0" w:line="2" w:lineRule="exact"/>
        <w:rPr>
          <w:sz w:val="24"/>
          <w:szCs w:val="24"/>
          <w:color w:val="auto"/>
        </w:rPr>
      </w:pPr>
    </w:p>
    <w:p>
      <w:pPr>
        <w:ind w:right="1420"/>
        <w:spacing w:after="0" w:line="245" w:lineRule="auto"/>
        <w:rPr>
          <w:sz w:val="20"/>
          <w:szCs w:val="20"/>
          <w:color w:val="auto"/>
        </w:rPr>
      </w:pPr>
      <w:r>
        <w:rPr>
          <w:rFonts w:ascii="Arial" w:cs="Arial" w:eastAsia="Arial" w:hAnsi="Arial"/>
          <w:sz w:val="16"/>
          <w:szCs w:val="16"/>
          <w:b w:val="1"/>
          <w:bCs w:val="1"/>
          <w:color w:val="auto"/>
        </w:rPr>
        <w:t>TRANSITION REPORT PURSUANT TO SECTION 13 OR 15(d) OF THE SECURITIES AND EXCHANGE ACT OF 1934</w:t>
      </w:r>
    </w:p>
    <w:p>
      <w:pPr>
        <w:spacing w:after="0" w:line="182" w:lineRule="exact"/>
        <w:rPr>
          <w:sz w:val="24"/>
          <w:szCs w:val="24"/>
          <w:color w:val="auto"/>
        </w:rPr>
      </w:pPr>
    </w:p>
    <w:p>
      <w:pPr>
        <w:jc w:val="center"/>
        <w:ind w:right="2180"/>
        <w:spacing w:after="0"/>
        <w:rPr>
          <w:sz w:val="20"/>
          <w:szCs w:val="20"/>
          <w:color w:val="auto"/>
        </w:rPr>
      </w:pPr>
      <w:r>
        <w:rPr>
          <w:rFonts w:ascii="Arial" w:cs="Arial" w:eastAsia="Arial" w:hAnsi="Arial"/>
          <w:sz w:val="14"/>
          <w:szCs w:val="14"/>
          <w:b w:val="1"/>
          <w:bCs w:val="1"/>
          <w:color w:val="auto"/>
        </w:rPr>
        <w:t>Commission file number 001-34460</w:t>
      </w:r>
    </w:p>
    <w:p>
      <w:pPr>
        <w:spacing w:after="0" w:line="118" w:lineRule="exact"/>
        <w:rPr>
          <w:sz w:val="24"/>
          <w:szCs w:val="24"/>
          <w:color w:val="auto"/>
        </w:rPr>
      </w:pPr>
    </w:p>
    <w:p>
      <w:pPr>
        <w:jc w:val="center"/>
        <w:ind w:right="2180"/>
        <w:spacing w:after="0"/>
        <w:rPr>
          <w:sz w:val="20"/>
          <w:szCs w:val="20"/>
          <w:color w:val="auto"/>
        </w:rPr>
      </w:pPr>
      <w:r>
        <w:rPr>
          <w:rFonts w:ascii="Arial" w:cs="Arial" w:eastAsia="Arial" w:hAnsi="Arial"/>
          <w:sz w:val="22"/>
          <w:szCs w:val="22"/>
          <w:b w:val="1"/>
          <w:bCs w:val="1"/>
          <w:color w:val="auto"/>
        </w:rPr>
        <w:t>KRATOS DEFENSE &amp; SECURITY SOLUTIONS, INC.</w:t>
      </w:r>
    </w:p>
    <w:p>
      <w:pPr>
        <w:spacing w:after="0" w:line="19" w:lineRule="exact"/>
        <w:rPr>
          <w:sz w:val="24"/>
          <w:szCs w:val="24"/>
          <w:color w:val="auto"/>
        </w:rPr>
      </w:pPr>
    </w:p>
    <w:p>
      <w:pPr>
        <w:jc w:val="center"/>
        <w:ind w:right="2180"/>
        <w:spacing w:after="0"/>
        <w:rPr>
          <w:sz w:val="20"/>
          <w:szCs w:val="20"/>
          <w:color w:val="auto"/>
        </w:rPr>
      </w:pPr>
      <w:r>
        <w:rPr>
          <w:rFonts w:ascii="Arial" w:cs="Arial" w:eastAsia="Arial" w:hAnsi="Arial"/>
          <w:sz w:val="14"/>
          <w:szCs w:val="14"/>
          <w:color w:val="auto"/>
        </w:rPr>
        <w:t>(Exact name of Registrant as specified in its charter</w:t>
      </w:r>
      <w:r>
        <w:rPr>
          <w:rFonts w:ascii="Arial" w:cs="Arial" w:eastAsia="Arial" w:hAnsi="Arial"/>
          <w:sz w:val="17"/>
          <w:szCs w:val="17"/>
          <w:color w:val="auto"/>
        </w:rPr>
        <w:t>)</w:t>
      </w:r>
    </w:p>
    <w:p>
      <w:pPr>
        <w:spacing w:after="0" w:line="122" w:lineRule="exact"/>
        <w:rPr>
          <w:sz w:val="24"/>
          <w:szCs w:val="24"/>
          <w:color w:val="auto"/>
        </w:rPr>
      </w:pPr>
    </w:p>
    <w:p>
      <w:pPr>
        <w:ind w:left="800"/>
        <w:spacing w:after="0"/>
        <w:tabs>
          <w:tab w:leader="none" w:pos="52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13-3818604</w:t>
      </w:r>
    </w:p>
    <w:p>
      <w:pPr>
        <w:spacing w:after="0" w:line="8" w:lineRule="exact"/>
        <w:rPr>
          <w:sz w:val="24"/>
          <w:szCs w:val="24"/>
          <w:color w:val="auto"/>
        </w:rPr>
      </w:pPr>
    </w:p>
    <w:p>
      <w:pPr>
        <w:ind w:left="320"/>
        <w:spacing w:after="0"/>
        <w:tabs>
          <w:tab w:leader="none" w:pos="4640" w:val="left"/>
        </w:tabs>
        <w:rPr>
          <w:sz w:val="20"/>
          <w:szCs w:val="20"/>
          <w:color w:val="auto"/>
        </w:rPr>
      </w:pPr>
      <w:r>
        <w:rPr>
          <w:rFonts w:ascii="Arial" w:cs="Arial" w:eastAsia="Arial" w:hAnsi="Arial"/>
          <w:sz w:val="14"/>
          <w:szCs w:val="14"/>
          <w:color w:val="auto"/>
        </w:rPr>
        <w:t>(State or other jurisdiction of</w:t>
      </w:r>
      <w:r>
        <w:rPr>
          <w:sz w:val="20"/>
          <w:szCs w:val="20"/>
          <w:color w:val="auto"/>
        </w:rPr>
        <w:tab/>
      </w:r>
      <w:r>
        <w:rPr>
          <w:rFonts w:ascii="Arial" w:cs="Arial" w:eastAsia="Arial" w:hAnsi="Arial"/>
          <w:sz w:val="13"/>
          <w:szCs w:val="13"/>
          <w:color w:val="auto"/>
        </w:rPr>
        <w:t>(I.R.S. Employer Identification No.)</w:t>
      </w:r>
    </w:p>
    <w:p>
      <w:pPr>
        <w:ind w:left="300"/>
        <w:spacing w:after="0"/>
        <w:rPr>
          <w:sz w:val="20"/>
          <w:szCs w:val="20"/>
          <w:color w:val="auto"/>
        </w:rPr>
      </w:pPr>
      <w:r>
        <w:rPr>
          <w:rFonts w:ascii="Arial" w:cs="Arial" w:eastAsia="Arial" w:hAnsi="Arial"/>
          <w:sz w:val="14"/>
          <w:szCs w:val="14"/>
          <w:color w:val="auto"/>
        </w:rPr>
        <w:t>incorporation or organization)</w:t>
      </w:r>
    </w:p>
    <w:p>
      <w:pPr>
        <w:spacing w:after="0" w:line="138" w:lineRule="exact"/>
        <w:rPr>
          <w:sz w:val="24"/>
          <w:szCs w:val="24"/>
          <w:color w:val="auto"/>
        </w:rPr>
      </w:pPr>
    </w:p>
    <w:p>
      <w:pPr>
        <w:sectPr>
          <w:pgSz w:w="11900" w:h="16838" w:orient="portrait"/>
          <w:cols w:equalWidth="0" w:num="2">
            <w:col w:w="2020" w:space="160"/>
            <w:col w:w="9060"/>
          </w:cols>
          <w:pgMar w:left="320" w:top="1192" w:right="339" w:bottom="1093"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1 Chisholm Trail, Suite 3200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Round Rock, TX 78681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(512) 238-9840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including zip code, and telephone number, including</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area code, of Registrant’s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3" w:lineRule="exact"/>
        <w:rPr>
          <w:sz w:val="24"/>
          <w:szCs w:val="24"/>
          <w:color w:val="auto"/>
        </w:rPr>
      </w:pPr>
    </w:p>
    <w:tbl>
      <w:tblPr>
        <w:tblLayout w:type="fixed"/>
        <w:tblInd w:w="14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38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89"/>
              </w:rPr>
              <w:t>Title of each class</w:t>
            </w:r>
          </w:p>
        </w:tc>
        <w:tc>
          <w:tcPr>
            <w:tcW w:w="3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Trading Symbol(s)</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4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198"/>
        </w:trPr>
        <w:tc>
          <w:tcPr>
            <w:tcW w:w="2800" w:type="dxa"/>
            <w:vAlign w:val="bottom"/>
            <w:gridSpan w:val="3"/>
          </w:tcPr>
          <w:p>
            <w:pPr>
              <w:jc w:val="center"/>
              <w:ind w:right="860"/>
              <w:spacing w:after="0"/>
              <w:rPr>
                <w:sz w:val="20"/>
                <w:szCs w:val="20"/>
                <w:color w:val="auto"/>
              </w:rPr>
            </w:pPr>
            <w:r>
              <w:rPr>
                <w:rFonts w:ascii="Arial" w:cs="Arial" w:eastAsia="Arial" w:hAnsi="Arial"/>
                <w:sz w:val="14"/>
                <w:szCs w:val="14"/>
                <w:color w:val="auto"/>
                <w:w w:val="93"/>
              </w:rPr>
              <w:t>Common Stock, $0.001 par value</w:t>
            </w:r>
          </w:p>
        </w:tc>
        <w:tc>
          <w:tcPr>
            <w:tcW w:w="880" w:type="dxa"/>
            <w:vAlign w:val="bottom"/>
          </w:tcPr>
          <w:p>
            <w:pPr>
              <w:spacing w:after="0"/>
              <w:rPr>
                <w:sz w:val="17"/>
                <w:szCs w:val="17"/>
                <w:color w:val="auto"/>
              </w:rPr>
            </w:pPr>
          </w:p>
        </w:tc>
        <w:tc>
          <w:tcPr>
            <w:tcW w:w="2400" w:type="dxa"/>
            <w:vAlign w:val="bottom"/>
            <w:gridSpan w:val="2"/>
          </w:tcPr>
          <w:p>
            <w:pPr>
              <w:jc w:val="center"/>
              <w:ind w:right="1260"/>
              <w:spacing w:after="0"/>
              <w:rPr>
                <w:sz w:val="20"/>
                <w:szCs w:val="20"/>
                <w:color w:val="auto"/>
              </w:rPr>
            </w:pPr>
            <w:r>
              <w:rPr>
                <w:rFonts w:ascii="Arial" w:cs="Arial" w:eastAsia="Arial" w:hAnsi="Arial"/>
                <w:sz w:val="14"/>
                <w:szCs w:val="14"/>
                <w:color w:val="auto"/>
                <w:w w:val="99"/>
              </w:rPr>
              <w:t>KTOS</w:t>
            </w:r>
          </w:p>
        </w:tc>
        <w:tc>
          <w:tcPr>
            <w:tcW w:w="2680" w:type="dxa"/>
            <w:vAlign w:val="bottom"/>
          </w:tcPr>
          <w:p>
            <w:pPr>
              <w:jc w:val="center"/>
              <w:spacing w:after="0"/>
              <w:rPr>
                <w:sz w:val="20"/>
                <w:szCs w:val="20"/>
                <w:color w:val="auto"/>
              </w:rPr>
            </w:pPr>
            <w:r>
              <w:rPr>
                <w:rFonts w:ascii="Arial" w:cs="Arial" w:eastAsia="Arial" w:hAnsi="Arial"/>
                <w:sz w:val="14"/>
                <w:szCs w:val="14"/>
                <w:color w:val="auto"/>
                <w:w w:val="95"/>
              </w:rPr>
              <w:t>The NASDAQ Global Select Market</w:t>
            </w:r>
          </w:p>
        </w:tc>
      </w:tr>
    </w:tbl>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9" w:lineRule="exact"/>
        <w:rPr>
          <w:sz w:val="24"/>
          <w:szCs w:val="24"/>
          <w:color w:val="auto"/>
        </w:rPr>
      </w:pPr>
    </w:p>
    <w:p>
      <w:pPr>
        <w:ind w:left="340" w:right="3240"/>
        <w:spacing w:after="0" w:line="23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right="100" w:firstLine="324"/>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73" w:lineRule="exact"/>
        <w:rPr>
          <w:sz w:val="24"/>
          <w:szCs w:val="24"/>
          <w:color w:val="auto"/>
        </w:rPr>
      </w:pPr>
    </w:p>
    <w:p>
      <w:pPr>
        <w:ind w:right="240" w:firstLine="324"/>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73" w:lineRule="exact"/>
        <w:rPr>
          <w:sz w:val="24"/>
          <w:szCs w:val="24"/>
          <w:color w:val="auto"/>
        </w:rPr>
      </w:pPr>
    </w:p>
    <w:p>
      <w:pPr>
        <w:ind w:right="12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1" w:lineRule="exact"/>
        <w:rPr>
          <w:sz w:val="24"/>
          <w:szCs w:val="24"/>
          <w:color w:val="auto"/>
        </w:rPr>
      </w:pPr>
    </w:p>
    <w:p>
      <w:pPr>
        <w:ind w:left="4780"/>
        <w:spacing w:after="0" w:line="181" w:lineRule="exact"/>
        <w:tabs>
          <w:tab w:leader="none" w:pos="104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49" w:lineRule="exact"/>
        <w:rPr>
          <w:sz w:val="24"/>
          <w:szCs w:val="24"/>
          <w:color w:val="auto"/>
        </w:rPr>
      </w:pPr>
    </w:p>
    <w:p>
      <w:pPr>
        <w:ind w:left="1580"/>
        <w:spacing w:after="0"/>
        <w:tabs>
          <w:tab w:leader="none" w:pos="73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Arial" w:cs="Arial" w:eastAsia="Arial" w:hAnsi="Arial"/>
          <w:sz w:val="13"/>
          <w:szCs w:val="13"/>
          <w:color w:val="auto"/>
        </w:rPr>
        <w:t>Accelerated filer</w:t>
      </w:r>
    </w:p>
    <w:p>
      <w:pPr>
        <w:spacing w:after="0" w:line="217" w:lineRule="exact"/>
        <w:rPr>
          <w:sz w:val="24"/>
          <w:szCs w:val="24"/>
          <w:color w:val="auto"/>
        </w:rPr>
      </w:pPr>
    </w:p>
    <w:p>
      <w:pPr>
        <w:ind w:left="4780"/>
        <w:spacing w:after="0" w:line="181" w:lineRule="exact"/>
        <w:tabs>
          <w:tab w:leader="none" w:pos="104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49" w:lineRule="exact"/>
        <w:rPr>
          <w:sz w:val="24"/>
          <w:szCs w:val="24"/>
          <w:color w:val="auto"/>
        </w:rPr>
      </w:pPr>
    </w:p>
    <w:p>
      <w:pPr>
        <w:ind w:left="1620"/>
        <w:spacing w:after="0"/>
        <w:tabs>
          <w:tab w:leader="none" w:pos="704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Arial" w:cs="Arial" w:eastAsia="Arial" w:hAnsi="Arial"/>
          <w:sz w:val="13"/>
          <w:szCs w:val="13"/>
          <w:color w:val="auto"/>
        </w:rPr>
        <w:t>Smaller reporting company</w:t>
      </w:r>
    </w:p>
    <w:p>
      <w:pPr>
        <w:spacing w:after="0" w:line="42" w:lineRule="exact"/>
        <w:rPr>
          <w:sz w:val="24"/>
          <w:szCs w:val="24"/>
          <w:color w:val="auto"/>
        </w:rPr>
      </w:pPr>
    </w:p>
    <w:p>
      <w:pPr>
        <w:ind w:left="10480"/>
        <w:spacing w:after="0" w:line="181" w:lineRule="exact"/>
        <w:rPr>
          <w:sz w:val="20"/>
          <w:szCs w:val="20"/>
          <w:color w:val="auto"/>
        </w:rPr>
      </w:pPr>
      <w:r>
        <w:rPr>
          <w:rFonts w:ascii="MS PGothic" w:cs="MS PGothic" w:eastAsia="MS PGothic" w:hAnsi="MS PGothic"/>
          <w:sz w:val="18"/>
          <w:szCs w:val="18"/>
          <w:color w:val="auto"/>
        </w:rPr>
        <w:t>☐</w:t>
      </w:r>
    </w:p>
    <w:p>
      <w:pPr>
        <w:spacing w:after="0" w:line="49" w:lineRule="exact"/>
        <w:rPr>
          <w:sz w:val="24"/>
          <w:szCs w:val="24"/>
          <w:color w:val="auto"/>
        </w:rPr>
      </w:pPr>
    </w:p>
    <w:p>
      <w:pPr>
        <w:ind w:left="7060"/>
        <w:spacing w:after="0"/>
        <w:rPr>
          <w:sz w:val="20"/>
          <w:szCs w:val="20"/>
          <w:color w:val="auto"/>
        </w:rPr>
      </w:pPr>
      <w:r>
        <w:rPr>
          <w:rFonts w:ascii="Arial" w:cs="Arial" w:eastAsia="Arial" w:hAnsi="Arial"/>
          <w:sz w:val="14"/>
          <w:szCs w:val="14"/>
          <w:color w:val="auto"/>
        </w:rPr>
        <w:t>Emerging growth company</w:t>
      </w:r>
    </w:p>
    <w:p>
      <w:pPr>
        <w:spacing w:after="0" w:line="205" w:lineRule="exact"/>
        <w:rPr>
          <w:sz w:val="24"/>
          <w:szCs w:val="24"/>
          <w:color w:val="auto"/>
        </w:rPr>
      </w:pPr>
    </w:p>
    <w:p>
      <w:pPr>
        <w:ind w:right="240" w:firstLine="324"/>
        <w:spacing w:after="0" w:line="29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2" w:lineRule="exact"/>
        <w:rPr>
          <w:sz w:val="24"/>
          <w:szCs w:val="24"/>
          <w:color w:val="auto"/>
        </w:rPr>
      </w:pPr>
    </w:p>
    <w:p>
      <w:pPr>
        <w:ind w:right="200" w:firstLine="324"/>
        <w:spacing w:after="0" w:line="19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44" w:lineRule="exact"/>
        <w:rPr>
          <w:sz w:val="24"/>
          <w:szCs w:val="24"/>
          <w:color w:val="auto"/>
        </w:rPr>
      </w:pPr>
    </w:p>
    <w:p>
      <w:pPr>
        <w:ind w:left="340"/>
        <w:spacing w:after="0" w:line="18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4" w:lineRule="exact"/>
        <w:rPr>
          <w:sz w:val="24"/>
          <w:szCs w:val="24"/>
          <w:color w:val="auto"/>
        </w:rPr>
      </w:pPr>
    </w:p>
    <w:p>
      <w:pPr>
        <w:ind w:firstLine="324"/>
        <w:spacing w:after="0" w:line="277" w:lineRule="auto"/>
        <w:rPr>
          <w:sz w:val="20"/>
          <w:szCs w:val="20"/>
          <w:color w:val="auto"/>
        </w:rPr>
      </w:pPr>
      <w:r>
        <w:rPr>
          <w:rFonts w:ascii="Arial" w:cs="Arial" w:eastAsia="Arial" w:hAnsi="Arial"/>
          <w:sz w:val="13"/>
          <w:szCs w:val="13"/>
          <w:color w:val="auto"/>
        </w:rPr>
        <w:t>The aggregate market value of the registrant’s voting and non-voting common stock held by non-affiliates as of June 26, 2020, the last business day of the registrant’s most recently completed second fiscal quarter, was approximately $1.8 billion, based on the closing sale price for shares of the registrant’s common stock as reported by the NASDAQ Global Select Market on such date. This disclosure excludes shares of common stock held by executive officers, directors and stockholders whose individual ownership exceeded 10% of the common stock outstanding on June 26, 2020 because such persons may be deemed to be affiliates. This determination of affiliate status is not necessarily a conclusive determination for any other purpose.</w:t>
      </w:r>
    </w:p>
    <w:p>
      <w:pPr>
        <w:spacing w:after="0" w:line="66"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February 19, 2021, 123,463,096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115570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140970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4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4"/>
          <w:szCs w:val="24"/>
          <w:color w:val="auto"/>
        </w:rPr>
      </w:pPr>
    </w:p>
    <w:p>
      <w:pPr>
        <w:ind w:right="180" w:firstLine="648"/>
        <w:spacing w:after="0" w:line="259" w:lineRule="auto"/>
        <w:rPr>
          <w:sz w:val="20"/>
          <w:szCs w:val="20"/>
          <w:color w:val="auto"/>
        </w:rPr>
      </w:pPr>
      <w:r>
        <w:rPr>
          <w:rFonts w:ascii="Arial" w:cs="Arial" w:eastAsia="Arial" w:hAnsi="Arial"/>
          <w:sz w:val="18"/>
          <w:szCs w:val="18"/>
          <w:color w:val="auto"/>
        </w:rPr>
        <w:t>Items 10, 11, 12, 13 and 14 of Part III of this annual report on Form 10-K incorporate information by reference from the registrant’s definitive proxy statement to be filed pursuant to Regulation 14A in connection with the registrant’s 2021 Annual Meeting of Stockholders or an amendment to this annual report on Form 10-K to be filed with the Securities and Exchange Commission within 120 days after the close of the fiscal year covered by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093"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892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KRATOS DEFENSE &amp; SECURITY SOLUTIONS, INC.</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8920" w:type="dxa"/>
            <w:vAlign w:val="bottom"/>
          </w:tcPr>
          <w:p>
            <w:pPr>
              <w:jc w:val="center"/>
              <w:ind w:left="330"/>
              <w:spacing w:after="0"/>
              <w:rPr>
                <w:sz w:val="20"/>
                <w:szCs w:val="20"/>
                <w:color w:val="auto"/>
              </w:rPr>
            </w:pPr>
            <w:r>
              <w:rPr>
                <w:rFonts w:ascii="Arial" w:cs="Arial" w:eastAsia="Arial" w:hAnsi="Arial"/>
                <w:sz w:val="18"/>
                <w:szCs w:val="18"/>
                <w:b w:val="1"/>
                <w:bCs w:val="1"/>
                <w:color w:val="auto"/>
              </w:rPr>
              <w:t>FORM 10-K</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8920" w:type="dxa"/>
            <w:vAlign w:val="bottom"/>
          </w:tcPr>
          <w:p>
            <w:pPr>
              <w:jc w:val="center"/>
              <w:ind w:left="330"/>
              <w:spacing w:after="0"/>
              <w:rPr>
                <w:sz w:val="20"/>
                <w:szCs w:val="20"/>
                <w:color w:val="auto"/>
              </w:rPr>
            </w:pPr>
            <w:r>
              <w:rPr>
                <w:rFonts w:ascii="Arial" w:cs="Arial" w:eastAsia="Arial" w:hAnsi="Arial"/>
                <w:sz w:val="18"/>
                <w:szCs w:val="18"/>
                <w:b w:val="1"/>
                <w:bCs w:val="1"/>
                <w:color w:val="auto"/>
                <w:w w:val="98"/>
              </w:rPr>
              <w:t>FOR THE FISCAL YEAR ENDED DECEMBER 27, 2020</w:t>
            </w: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8920" w:type="dxa"/>
            <w:vAlign w:val="bottom"/>
          </w:tcPr>
          <w:p>
            <w:pPr>
              <w:jc w:val="center"/>
              <w:ind w:left="270"/>
              <w:spacing w:after="0"/>
              <w:rPr>
                <w:sz w:val="20"/>
                <w:szCs w:val="20"/>
                <w:color w:val="auto"/>
              </w:rPr>
            </w:pPr>
            <w:r>
              <w:rPr>
                <w:rFonts w:ascii="Arial" w:cs="Arial" w:eastAsia="Arial" w:hAnsi="Arial"/>
                <w:sz w:val="18"/>
                <w:szCs w:val="18"/>
                <w:b w:val="1"/>
                <w:bCs w:val="1"/>
                <w:color w:val="auto"/>
                <w:w w:val="98"/>
              </w:rPr>
              <w:t>TABLE OF CONTENTS</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80" w:type="dxa"/>
            <w:vAlign w:val="bottom"/>
            <w:vMerge w:val="restart"/>
          </w:tcPr>
          <w:p>
            <w:pPr>
              <w:ind w:left="4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w:t>
              </w:r>
            </w:hyperlink>
          </w:p>
        </w:tc>
        <w:tc>
          <w:tcPr>
            <w:tcW w:w="8920" w:type="dxa"/>
            <w:vAlign w:val="bottom"/>
          </w:tcPr>
          <w:p>
            <w:pPr>
              <w:spacing w:after="0"/>
              <w:rPr>
                <w:sz w:val="24"/>
                <w:szCs w:val="24"/>
                <w:color w:val="auto"/>
              </w:rPr>
            </w:pPr>
          </w:p>
        </w:tc>
        <w:tc>
          <w:tcPr>
            <w:tcW w:w="1340" w:type="dxa"/>
            <w:vAlign w:val="bottom"/>
            <w:gridSpan w:val="2"/>
          </w:tcPr>
          <w:p>
            <w:pPr>
              <w:ind w:left="4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980" w:type="dxa"/>
            <w:vAlign w:val="bottom"/>
            <w:vMerge w:val="continue"/>
          </w:tcPr>
          <w:p>
            <w:pPr>
              <w:spacing w:after="0"/>
              <w:rPr>
                <w:sz w:val="18"/>
                <w:szCs w:val="18"/>
                <w:color w:val="auto"/>
              </w:rPr>
            </w:pPr>
          </w:p>
        </w:tc>
        <w:tc>
          <w:tcPr>
            <w:tcW w:w="89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tc>
        <w:tc>
          <w:tcPr>
            <w:tcW w:w="8920" w:type="dxa"/>
            <w:vAlign w:val="bottom"/>
          </w:tcPr>
          <w:p>
            <w:pPr>
              <w:ind w:left="2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Business</w:t>
              </w:r>
            </w:hyperlink>
          </w:p>
        </w:tc>
        <w:tc>
          <w:tcPr>
            <w:tcW w:w="13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40"/>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Item 1A.</w:t>
              </w:r>
            </w:hyperlink>
          </w:p>
        </w:tc>
        <w:tc>
          <w:tcPr>
            <w:tcW w:w="8920" w:type="dxa"/>
            <w:vAlign w:val="bottom"/>
          </w:tcPr>
          <w:p>
            <w:pPr>
              <w:ind w:left="220"/>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Risk Factors</w:t>
              </w:r>
            </w:hyperlink>
          </w:p>
        </w:tc>
        <w:tc>
          <w:tcPr>
            <w:tcW w:w="1320" w:type="dxa"/>
            <w:vAlign w:val="bottom"/>
          </w:tcPr>
          <w:p>
            <w:pPr>
              <w:jc w:val="right"/>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16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4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1B.</w:t>
              </w:r>
            </w:hyperlink>
          </w:p>
        </w:tc>
        <w:tc>
          <w:tcPr>
            <w:tcW w:w="8920" w:type="dxa"/>
            <w:vAlign w:val="bottom"/>
          </w:tcPr>
          <w:p>
            <w:pPr>
              <w:ind w:left="22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Unresolved Staff Comments</w:t>
              </w:r>
            </w:hyperlink>
          </w:p>
        </w:tc>
        <w:tc>
          <w:tcPr>
            <w:tcW w:w="132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41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4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2.</w:t>
              </w:r>
            </w:hyperlink>
          </w:p>
        </w:tc>
        <w:tc>
          <w:tcPr>
            <w:tcW w:w="8920" w:type="dxa"/>
            <w:vAlign w:val="bottom"/>
          </w:tcPr>
          <w:p>
            <w:pPr>
              <w:ind w:left="22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Properties</w:t>
              </w:r>
            </w:hyperlink>
          </w:p>
        </w:tc>
        <w:tc>
          <w:tcPr>
            <w:tcW w:w="132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41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4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3.</w:t>
              </w:r>
            </w:hyperlink>
          </w:p>
        </w:tc>
        <w:tc>
          <w:tcPr>
            <w:tcW w:w="8920" w:type="dxa"/>
            <w:vAlign w:val="bottom"/>
          </w:tcPr>
          <w:p>
            <w:pPr>
              <w:ind w:left="22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Legal Proceedings</w:t>
              </w:r>
            </w:hyperlink>
          </w:p>
        </w:tc>
        <w:tc>
          <w:tcPr>
            <w:tcW w:w="132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41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80" w:type="dxa"/>
            <w:vAlign w:val="bottom"/>
          </w:tcPr>
          <w:p>
            <w:pPr>
              <w:ind w:left="4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4.</w:t>
              </w:r>
            </w:hyperlink>
          </w:p>
        </w:tc>
        <w:tc>
          <w:tcPr>
            <w:tcW w:w="8920" w:type="dxa"/>
            <w:vAlign w:val="bottom"/>
          </w:tcPr>
          <w:p>
            <w:pPr>
              <w:ind w:left="22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Mine Safety Disclosures</w:t>
              </w:r>
            </w:hyperlink>
          </w:p>
        </w:tc>
        <w:tc>
          <w:tcPr>
            <w:tcW w:w="132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41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980" w:type="dxa"/>
            <w:vAlign w:val="bottom"/>
          </w:tcPr>
          <w:p>
            <w:pPr>
              <w:ind w:left="40"/>
              <w:spacing w:after="0"/>
              <w:rPr>
                <w:rFonts w:ascii="Arial" w:cs="Arial" w:eastAsia="Arial" w:hAnsi="Arial"/>
                <w:sz w:val="18"/>
                <w:szCs w:val="18"/>
                <w:b w:val="1"/>
                <w:bCs w:val="1"/>
                <w:u w:val="single" w:color="auto"/>
                <w:color w:val="0000FF"/>
              </w:rPr>
            </w:pPr>
            <w:hyperlink w:anchor="page41">
              <w:r>
                <w:rPr>
                  <w:rFonts w:ascii="Arial" w:cs="Arial" w:eastAsia="Arial" w:hAnsi="Arial"/>
                  <w:sz w:val="18"/>
                  <w:szCs w:val="18"/>
                  <w:b w:val="1"/>
                  <w:bCs w:val="1"/>
                  <w:u w:val="single" w:color="auto"/>
                  <w:color w:val="0000FF"/>
                </w:rPr>
                <w:t>PART II</w:t>
              </w:r>
            </w:hyperlink>
          </w:p>
        </w:tc>
        <w:tc>
          <w:tcPr>
            <w:tcW w:w="8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4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5.</w:t>
              </w:r>
            </w:hyperlink>
          </w:p>
        </w:tc>
        <w:tc>
          <w:tcPr>
            <w:tcW w:w="8920" w:type="dxa"/>
            <w:vAlign w:val="bottom"/>
          </w:tcPr>
          <w:p>
            <w:pPr>
              <w:ind w:left="220"/>
              <w:spacing w:after="0"/>
              <w:rPr>
                <w:rFonts w:ascii="Arial" w:cs="Arial" w:eastAsia="Arial" w:hAnsi="Arial"/>
                <w:sz w:val="18"/>
                <w:szCs w:val="18"/>
                <w:u w:val="single" w:color="auto"/>
                <w:color w:val="0000FF"/>
                <w:w w:val="94"/>
              </w:rPr>
            </w:pPr>
            <w:hyperlink w:anchor="page42">
              <w:r>
                <w:rPr>
                  <w:rFonts w:ascii="Arial" w:cs="Arial" w:eastAsia="Arial" w:hAnsi="Arial"/>
                  <w:sz w:val="18"/>
                  <w:szCs w:val="18"/>
                  <w:u w:val="single" w:color="auto"/>
                  <w:color w:val="0000FF"/>
                  <w:w w:val="94"/>
                </w:rPr>
                <w:t>Market for the Registrant’s Common Equity, Related Stockholder Matters and Issuer Purchases of Equity Securities</w:t>
              </w:r>
            </w:hyperlink>
          </w:p>
        </w:tc>
        <w:tc>
          <w:tcPr>
            <w:tcW w:w="132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4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6.</w:t>
              </w:r>
            </w:hyperlink>
          </w:p>
        </w:tc>
        <w:tc>
          <w:tcPr>
            <w:tcW w:w="8920" w:type="dxa"/>
            <w:vAlign w:val="bottom"/>
          </w:tcPr>
          <w:p>
            <w:pPr>
              <w:ind w:left="2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Selected Financial Data</w:t>
              </w:r>
            </w:hyperlink>
          </w:p>
        </w:tc>
        <w:tc>
          <w:tcPr>
            <w:tcW w:w="1320" w:type="dxa"/>
            <w:vAlign w:val="bottom"/>
          </w:tcPr>
          <w:p>
            <w:pPr>
              <w:jc w:val="right"/>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4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Item 7.</w:t>
              </w:r>
            </w:hyperlink>
          </w:p>
        </w:tc>
        <w:tc>
          <w:tcPr>
            <w:tcW w:w="8920" w:type="dxa"/>
            <w:vAlign w:val="bottom"/>
          </w:tcPr>
          <w:p>
            <w:pPr>
              <w:ind w:left="22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Management’s Discussion and Analysis of Financial Condition and Results of Operations</w:t>
              </w:r>
            </w:hyperlink>
          </w:p>
        </w:tc>
        <w:tc>
          <w:tcPr>
            <w:tcW w:w="1320" w:type="dxa"/>
            <w:vAlign w:val="bottom"/>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4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Item 7A.</w:t>
              </w:r>
            </w:hyperlink>
          </w:p>
        </w:tc>
        <w:tc>
          <w:tcPr>
            <w:tcW w:w="8920" w:type="dxa"/>
            <w:vAlign w:val="bottom"/>
          </w:tcPr>
          <w:p>
            <w:pPr>
              <w:ind w:left="22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Quantitative and Qualitative Disclosures About Market Risk</w:t>
              </w:r>
            </w:hyperlink>
          </w:p>
        </w:tc>
        <w:tc>
          <w:tcPr>
            <w:tcW w:w="1320" w:type="dxa"/>
            <w:vAlign w:val="bottom"/>
          </w:tcPr>
          <w:p>
            <w:pPr>
              <w:jc w:val="right"/>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58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4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Item 8.</w:t>
              </w:r>
            </w:hyperlink>
          </w:p>
        </w:tc>
        <w:tc>
          <w:tcPr>
            <w:tcW w:w="8920" w:type="dxa"/>
            <w:vAlign w:val="bottom"/>
          </w:tcPr>
          <w:p>
            <w:pPr>
              <w:ind w:left="22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Financial Statements and Supplementary Data</w:t>
              </w:r>
            </w:hyperlink>
          </w:p>
        </w:tc>
        <w:tc>
          <w:tcPr>
            <w:tcW w:w="1320" w:type="dxa"/>
            <w:vAlign w:val="bottom"/>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59</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4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Item 9.</w:t>
              </w:r>
            </w:hyperlink>
          </w:p>
        </w:tc>
        <w:tc>
          <w:tcPr>
            <w:tcW w:w="8920" w:type="dxa"/>
            <w:vAlign w:val="bottom"/>
          </w:tcPr>
          <w:p>
            <w:pPr>
              <w:ind w:left="22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Changes in and Disagreements with Accountants on Accounting and Financial Disclosure</w:t>
              </w:r>
            </w:hyperlink>
          </w:p>
        </w:tc>
        <w:tc>
          <w:tcPr>
            <w:tcW w:w="1320" w:type="dxa"/>
            <w:vAlign w:val="bottom"/>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59</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4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Item 9A.</w:t>
              </w:r>
            </w:hyperlink>
          </w:p>
        </w:tc>
        <w:tc>
          <w:tcPr>
            <w:tcW w:w="8920" w:type="dxa"/>
            <w:vAlign w:val="bottom"/>
          </w:tcPr>
          <w:p>
            <w:pPr>
              <w:ind w:left="22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Controls and Procedures</w:t>
              </w:r>
            </w:hyperlink>
          </w:p>
        </w:tc>
        <w:tc>
          <w:tcPr>
            <w:tcW w:w="1320" w:type="dxa"/>
            <w:vAlign w:val="bottom"/>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59</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80" w:type="dxa"/>
            <w:vAlign w:val="bottom"/>
          </w:tcPr>
          <w:p>
            <w:pPr>
              <w:ind w:left="4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Item 9B.</w:t>
              </w:r>
            </w:hyperlink>
          </w:p>
        </w:tc>
        <w:tc>
          <w:tcPr>
            <w:tcW w:w="8920" w:type="dxa"/>
            <w:vAlign w:val="bottom"/>
          </w:tcPr>
          <w:p>
            <w:pPr>
              <w:ind w:left="22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Other Information</w:t>
              </w:r>
            </w:hyperlink>
          </w:p>
        </w:tc>
        <w:tc>
          <w:tcPr>
            <w:tcW w:w="1320" w:type="dxa"/>
            <w:vAlign w:val="bottom"/>
          </w:tcPr>
          <w:p>
            <w:pPr>
              <w:jc w:val="right"/>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60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80" w:type="dxa"/>
            <w:vAlign w:val="bottom"/>
          </w:tcPr>
          <w:p>
            <w:pPr>
              <w:ind w:left="40"/>
              <w:spacing w:after="0"/>
              <w:rPr>
                <w:rFonts w:ascii="Arial" w:cs="Arial" w:eastAsia="Arial" w:hAnsi="Arial"/>
                <w:sz w:val="18"/>
                <w:szCs w:val="18"/>
                <w:b w:val="1"/>
                <w:bCs w:val="1"/>
                <w:u w:val="single" w:color="auto"/>
                <w:color w:val="0000FF"/>
              </w:rPr>
            </w:pPr>
            <w:hyperlink w:anchor="page60">
              <w:r>
                <w:rPr>
                  <w:rFonts w:ascii="Arial" w:cs="Arial" w:eastAsia="Arial" w:hAnsi="Arial"/>
                  <w:sz w:val="18"/>
                  <w:szCs w:val="18"/>
                  <w:b w:val="1"/>
                  <w:bCs w:val="1"/>
                  <w:u w:val="single" w:color="auto"/>
                  <w:color w:val="0000FF"/>
                </w:rPr>
                <w:t>PART III</w:t>
              </w:r>
            </w:hyperlink>
          </w:p>
        </w:tc>
        <w:tc>
          <w:tcPr>
            <w:tcW w:w="8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4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Item 10.</w:t>
              </w:r>
            </w:hyperlink>
          </w:p>
        </w:tc>
        <w:tc>
          <w:tcPr>
            <w:tcW w:w="8920" w:type="dxa"/>
            <w:vAlign w:val="bottom"/>
          </w:tcPr>
          <w:p>
            <w:pPr>
              <w:ind w:left="22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Directors, Executive Officers and Corporate Governance</w:t>
              </w:r>
            </w:hyperlink>
          </w:p>
        </w:tc>
        <w:tc>
          <w:tcPr>
            <w:tcW w:w="1320" w:type="dxa"/>
            <w:vAlign w:val="bottom"/>
          </w:tcPr>
          <w:p>
            <w:pPr>
              <w:jc w:val="right"/>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60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4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Item 11.</w:t>
              </w:r>
            </w:hyperlink>
          </w:p>
        </w:tc>
        <w:tc>
          <w:tcPr>
            <w:tcW w:w="8920" w:type="dxa"/>
            <w:vAlign w:val="bottom"/>
          </w:tcPr>
          <w:p>
            <w:pPr>
              <w:ind w:left="22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Executive Compensation</w:t>
              </w:r>
            </w:hyperlink>
          </w:p>
        </w:tc>
        <w:tc>
          <w:tcPr>
            <w:tcW w:w="1320" w:type="dxa"/>
            <w:vAlign w:val="bottom"/>
          </w:tcPr>
          <w:p>
            <w:pPr>
              <w:jc w:val="right"/>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60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4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Item 12.</w:t>
              </w:r>
            </w:hyperlink>
          </w:p>
        </w:tc>
        <w:tc>
          <w:tcPr>
            <w:tcW w:w="8920" w:type="dxa"/>
            <w:vAlign w:val="bottom"/>
          </w:tcPr>
          <w:p>
            <w:pPr>
              <w:ind w:left="22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Security Ownership of Certain Beneficial Owners and Management and Related Stockholder Matters</w:t>
              </w:r>
            </w:hyperlink>
          </w:p>
        </w:tc>
        <w:tc>
          <w:tcPr>
            <w:tcW w:w="1320" w:type="dxa"/>
            <w:vAlign w:val="bottom"/>
          </w:tcPr>
          <w:p>
            <w:pPr>
              <w:jc w:val="right"/>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60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4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Item 13.</w:t>
              </w:r>
            </w:hyperlink>
          </w:p>
        </w:tc>
        <w:tc>
          <w:tcPr>
            <w:tcW w:w="8920" w:type="dxa"/>
            <w:vAlign w:val="bottom"/>
          </w:tcPr>
          <w:p>
            <w:pPr>
              <w:ind w:left="22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Certain Relationships and Related Transactions, and Director Independence</w:t>
              </w:r>
            </w:hyperlink>
          </w:p>
        </w:tc>
        <w:tc>
          <w:tcPr>
            <w:tcW w:w="1320" w:type="dxa"/>
            <w:vAlign w:val="bottom"/>
          </w:tcPr>
          <w:p>
            <w:pPr>
              <w:jc w:val="right"/>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60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80" w:type="dxa"/>
            <w:vAlign w:val="bottom"/>
          </w:tcPr>
          <w:p>
            <w:pPr>
              <w:ind w:left="4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Item 14.</w:t>
              </w:r>
            </w:hyperlink>
          </w:p>
        </w:tc>
        <w:tc>
          <w:tcPr>
            <w:tcW w:w="8920" w:type="dxa"/>
            <w:vAlign w:val="bottom"/>
          </w:tcPr>
          <w:p>
            <w:pPr>
              <w:ind w:left="22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Principal Accountant Fees and Services</w:t>
              </w:r>
            </w:hyperlink>
          </w:p>
        </w:tc>
        <w:tc>
          <w:tcPr>
            <w:tcW w:w="1320" w:type="dxa"/>
            <w:vAlign w:val="bottom"/>
          </w:tcPr>
          <w:p>
            <w:pPr>
              <w:jc w:val="right"/>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60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80" w:type="dxa"/>
            <w:vAlign w:val="bottom"/>
          </w:tcPr>
          <w:p>
            <w:pPr>
              <w:ind w:left="40"/>
              <w:spacing w:after="0"/>
              <w:rPr>
                <w:rFonts w:ascii="Arial" w:cs="Arial" w:eastAsia="Arial" w:hAnsi="Arial"/>
                <w:sz w:val="18"/>
                <w:szCs w:val="18"/>
                <w:b w:val="1"/>
                <w:bCs w:val="1"/>
                <w:u w:val="single" w:color="auto"/>
                <w:color w:val="0000FF"/>
              </w:rPr>
            </w:pPr>
            <w:hyperlink w:anchor="page60">
              <w:r>
                <w:rPr>
                  <w:rFonts w:ascii="Arial" w:cs="Arial" w:eastAsia="Arial" w:hAnsi="Arial"/>
                  <w:sz w:val="18"/>
                  <w:szCs w:val="18"/>
                  <w:b w:val="1"/>
                  <w:bCs w:val="1"/>
                  <w:u w:val="single" w:color="auto"/>
                  <w:color w:val="0000FF"/>
                </w:rPr>
                <w:t>PART IV</w:t>
              </w:r>
            </w:hyperlink>
          </w:p>
        </w:tc>
        <w:tc>
          <w:tcPr>
            <w:tcW w:w="8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4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Item 15.</w:t>
              </w:r>
            </w:hyperlink>
          </w:p>
        </w:tc>
        <w:tc>
          <w:tcPr>
            <w:tcW w:w="8920" w:type="dxa"/>
            <w:vAlign w:val="bottom"/>
          </w:tcPr>
          <w:p>
            <w:pPr>
              <w:ind w:left="22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Exhibit and Financial Statement Schedules</w:t>
              </w:r>
            </w:hyperlink>
          </w:p>
        </w:tc>
        <w:tc>
          <w:tcPr>
            <w:tcW w:w="1320" w:type="dxa"/>
            <w:vAlign w:val="bottom"/>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61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4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Item 16.</w:t>
              </w:r>
            </w:hyperlink>
          </w:p>
        </w:tc>
        <w:tc>
          <w:tcPr>
            <w:tcW w:w="8920" w:type="dxa"/>
            <w:vAlign w:val="bottom"/>
          </w:tcPr>
          <w:p>
            <w:pPr>
              <w:ind w:left="22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Form 10-K Summary</w:t>
              </w:r>
            </w:hyperlink>
          </w:p>
        </w:tc>
        <w:tc>
          <w:tcPr>
            <w:tcW w:w="1320" w:type="dxa"/>
            <w:vAlign w:val="bottom"/>
          </w:tcPr>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64</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980" w:type="dxa"/>
            <w:vAlign w:val="bottom"/>
          </w:tcPr>
          <w:p>
            <w:pPr>
              <w:spacing w:after="0"/>
              <w:rPr>
                <w:sz w:val="24"/>
                <w:szCs w:val="24"/>
                <w:color w:val="auto"/>
              </w:rPr>
            </w:pPr>
          </w:p>
        </w:tc>
        <w:tc>
          <w:tcPr>
            <w:tcW w:w="8920" w:type="dxa"/>
            <w:vAlign w:val="bottom"/>
          </w:tcPr>
          <w:p>
            <w:pPr>
              <w:jc w:val="center"/>
              <w:ind w:left="270"/>
              <w:spacing w:after="0"/>
              <w:rPr>
                <w:sz w:val="20"/>
                <w:szCs w:val="20"/>
                <w:color w:val="auto"/>
              </w:rPr>
            </w:pPr>
            <w:r>
              <w:rPr>
                <w:rFonts w:ascii="Arial" w:cs="Arial" w:eastAsia="Arial" w:hAnsi="Arial"/>
                <w:sz w:val="18"/>
                <w:szCs w:val="18"/>
                <w:color w:val="auto"/>
                <w:w w:val="79"/>
              </w:rPr>
              <w:t>2</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89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ind w:right="100" w:firstLine="648"/>
        <w:spacing w:after="0" w:line="277" w:lineRule="auto"/>
        <w:rPr>
          <w:sz w:val="20"/>
          <w:szCs w:val="20"/>
          <w:color w:val="auto"/>
        </w:rPr>
      </w:pPr>
      <w:r>
        <w:rPr>
          <w:rFonts w:ascii="Arial" w:cs="Arial" w:eastAsia="Arial" w:hAnsi="Arial"/>
          <w:sz w:val="18"/>
          <w:szCs w:val="18"/>
          <w:color w:val="auto"/>
        </w:rPr>
        <w:t>All references to “us,” “we,” “our,” the “Company” and “Kratos” refer to Kratos Defense &amp; Security Solutions, Inc., a Delaware corporation, and its subsidiaries.</w:t>
      </w:r>
    </w:p>
    <w:p>
      <w:pPr>
        <w:spacing w:after="0" w:line="166"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This Annual Report on Form 10-K (this “Annual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The most important risks and uncertainties that could cause our actual results or achievements to differ materially from the results or achievements expressed in or implied by our forward-looking statements, include, but are not limited to those specifically addressed in Item 1A “Risk Factors” in this Annual Report, as well as those discussed elsewhere in this Annual Report.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20" w:firstLine="648"/>
        <w:spacing w:after="0" w:line="269" w:lineRule="auto"/>
        <w:rPr>
          <w:sz w:val="20"/>
          <w:szCs w:val="20"/>
          <w:color w:val="auto"/>
        </w:rPr>
      </w:pPr>
      <w:r>
        <w:rPr>
          <w:rFonts w:ascii="Arial" w:cs="Arial" w:eastAsia="Arial" w:hAnsi="Arial"/>
          <w:sz w:val="16"/>
          <w:szCs w:val="16"/>
          <w:color w:val="auto"/>
        </w:rPr>
        <w:t>Kratos is a government contractor at the forefront of the U.S. Department of Defense’s (the “DoD”) recapitalization of strategic weapon systems to address peer and near peer threats and its related Rapid Innovation Initiatives. Kratos is a leading technology, intellectual property, proprietary product and system company focused on the U.S. and its allies’ national security. Kratos is a recognized industry leader in the rapid development, demonstration and fielding of disruptive, transformative and high technology systems and products at an affordable cost. At Kratos, affordability is a technology. Kratos’ primary focus areas are unmanned systems, space and satellite communications, microwave electronics, cybersecurity/warfare, rocket, hypersonic and missile defense systems, turbine technologies, Command, Control, Communication, Computing, Combat, Intelligence Surveillance and Reconnaissance (“C5ISR”) Systems and training systems. We believe that our technology, intellectual property, proprietary products and designed-in positions on our customers’ programs, platforms and systems, and our ability to rapidly develop, demonstrate and field affordable leading technology systems gives us a competitive advantage and creates a high barrier to entry into our markets. Our workforce is primarily engineering and technically oriented with a significant number of employees holding national security clearances. Much of our work is performed at customer locations, or in a secure manufacturing facility. Our primary end customers are national security related agencies. Our entire organization is focused on executing our strategy of being the leading technology and intellectual property based product and system company in our industry.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On December 27, 2020, the Consolidated Appropriations Act, 2021, was signed into law. The $2.3 trillion spending bill combines $900 billion in stimulus relief for the COVID-19 pandemic in the United States with a $1.4 trillion omnibus spending bill for the FY 2021 (combining 12 separate annual appropriations bills). The bills allocate $695.9 billion for the DoD, a decrease of $9.7 billion from FY 2020. The federal budget and debt ceiling are expected to continue to be the subject of considerable debate, which could have a significant impact on defense spending broadly and the Company’s programs in particular. The U.S. Government’s fiscal year (“FY”) ends September 30.</w:t>
      </w:r>
    </w:p>
    <w:p>
      <w:pPr>
        <w:spacing w:after="0" w:line="203" w:lineRule="exact"/>
        <w:rPr>
          <w:sz w:val="20"/>
          <w:szCs w:val="20"/>
          <w:color w:val="auto"/>
        </w:rPr>
      </w:pPr>
    </w:p>
    <w:p>
      <w:pPr>
        <w:ind w:right="60" w:firstLine="648"/>
        <w:spacing w:after="0" w:line="271" w:lineRule="auto"/>
        <w:rPr>
          <w:sz w:val="20"/>
          <w:szCs w:val="20"/>
          <w:color w:val="auto"/>
        </w:rPr>
      </w:pPr>
      <w:r>
        <w:rPr>
          <w:rFonts w:ascii="Arial" w:cs="Arial" w:eastAsia="Arial" w:hAnsi="Arial"/>
          <w:sz w:val="16"/>
          <w:szCs w:val="16"/>
          <w:color w:val="auto"/>
        </w:rPr>
        <w:t>The budget environment, including COVID-19 spending increases proposed by the new Biden administration, and uncertainty surrounding the debt ceiling and the appropriations process, remain significant short and long-term risks. Considerable uncertainty exists regarding how future budget and program decisions will unfold, including the defense spending priorities of the Administration and Congress and what challenges budget reductions (required by the Budget Control Act of 2011 (“BCA”) and otherwise) will present for the defense industry. If annual appropriations bills are not timely enacted, the U.S. Government may again operate under continuing resolution authority (“CRA”), restricting new contract or program starts, restricting increased funding or additional quantities on existing contracts, presenting resource allocation and forecasting challenges and placing limitations on some planned program budgets, and we may face another government shutdown of unknown duration. If a prolonged government shutdown of the DoD were to occur, it could result in program cancellations, disruptions and/or stop work orders and could limit the U.S. Government’s ability to effectively progress programs and to make timely payments, and our ability to perform on our U.S. Government contracts and successfully compete for new work.</w:t>
      </w:r>
    </w:p>
    <w:p>
      <w:pPr>
        <w:spacing w:after="0" w:line="19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believe continued budget pressures, CRAs or U.S. Government shutdowns would have serious negative consequences for the security of our country and the defense industrial base, including the Company and the customers, employees, suppliers, investors, and communities that rely on companies in the defense industrial base. It is likely budget and program decisions made in such an uncertain environment would have long-term implications for our Company and the entire defense industry.</w:t>
      </w:r>
    </w:p>
    <w:p>
      <w:pPr>
        <w:spacing w:after="0" w:line="214"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Additionally, funding for certain programs in which we currently participate may be reduced, delayed or cancelled, and budget uncertainty or funding cuts globally could adversely affect the viability of our partners, teammates, subcontractors and suppliers, and our employee base. While we believe that our business is well-positioned in areas that the DoD and other customers indicate are priorities for future defense spending, including in the 2018 and 2020 National Defense Strategy documents, the short and long-term impact of federal budgetary uncertainty, CRAs, the BCA, other defense spending cuts, challenges in the appropriations process, the debt ceiling and the ongoing fiscal debates remain uncertain. Such a challenging federal and DoD budgetary environment may negatively impact our business and programs and could have a material adverse effect on our forecasts, estimates, financial position, results of operations and/or cash flows.</w:t>
      </w:r>
    </w:p>
    <w:p>
      <w:pPr>
        <w:spacing w:after="0" w:line="20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nature of our operations expose us to risks associated with pandemics, epidemics or other public health emergencies, such as the outbreak of COVID-19 in many countries across the globe, including the United States. In March 2020, the World Health Organization categorized COVID-19 as a pandemic, and the President of the United States declared the COVID-19 outbreak a national emergency. The outbreak has resulted in governments around the world, including the U.S.</w:t>
      </w: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4" w:name="page5"/>
    <w:bookmarkEnd w:id="4"/>
    <w:p>
      <w:pPr>
        <w:jc w:val="both"/>
        <w:ind w:right="120"/>
        <w:spacing w:after="0" w:line="311" w:lineRule="auto"/>
        <w:rPr>
          <w:sz w:val="20"/>
          <w:szCs w:val="20"/>
          <w:color w:val="auto"/>
        </w:rPr>
      </w:pPr>
      <w:r>
        <w:rPr>
          <w:rFonts w:ascii="Arial" w:cs="Arial" w:eastAsia="Arial" w:hAnsi="Arial"/>
          <w:sz w:val="16"/>
          <w:szCs w:val="16"/>
          <w:color w:val="auto"/>
        </w:rPr>
        <w:t>Government and state and local governments, implementing increasingly stringent measures to help control the spread of the virus, including quarantines, “shelter in place” and “stay at home” orders, travel restrictions, business curtailments, school closures, and other measures. In addition, governments and central banks in several parts of the world have enacted fiscal and monetary stimulus measures to counteract the impacts of COVID-19.</w:t>
      </w:r>
    </w:p>
    <w:p>
      <w:pPr>
        <w:spacing w:after="0" w:line="17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are a company operating in a “critical infrastructure industry”, as defined by the U.S. Department of Homeland Security. Consistent with federal guidelines and with state and local orders to date, we currently continue to operate, including our international operations. Notwithstanding our continued operations, COVID-19 has had negative impacts on certain of our operations, our supply chain, vendors, transportation networks and customers, which have reduced certain of our sales and our margins, including as a result of preventative and precautionary measures that we, our suppliers, other businesses and governments are taking. The COVID-19 outbreak is a widespread public health crisis that is adversely affecting the economies and financial markets globally. Any resulting economic downturn could adversely affect demand for our products. The progression of this matter could also negatively impact our business or results of operations through the temporary or extended closure of our operating locations or those of our customers or suppliers.</w:t>
      </w:r>
    </w:p>
    <w:p>
      <w:pPr>
        <w:spacing w:after="0" w:line="193" w:lineRule="exact"/>
        <w:rPr>
          <w:sz w:val="20"/>
          <w:szCs w:val="20"/>
          <w:color w:val="auto"/>
        </w:rPr>
      </w:pPr>
    </w:p>
    <w:p>
      <w:pPr>
        <w:ind w:right="340" w:firstLine="648"/>
        <w:spacing w:after="0" w:line="296" w:lineRule="auto"/>
        <w:rPr>
          <w:sz w:val="20"/>
          <w:szCs w:val="20"/>
          <w:color w:val="auto"/>
        </w:rPr>
      </w:pPr>
      <w:r>
        <w:rPr>
          <w:rFonts w:ascii="Arial" w:cs="Arial" w:eastAsia="Arial" w:hAnsi="Arial"/>
          <w:sz w:val="16"/>
          <w:szCs w:val="16"/>
          <w:color w:val="auto"/>
        </w:rPr>
        <w:t>The ability of our employees, our suppliers’ employees and our customers’ employees to work may be significantly impacted by individuals contracting or being exposed to COVID-19, or as a result of the control measures noted above, which may significantly hamper our production and operations, including throughout the supply chain. In addition to the $900 billion in stimulus relief for the COVID-19 pandemic included in the current spending bill, on March 27, 2020, the Coronavirus Aid, Relief, and Economic Security Act (the “CARES Act”), a $2 trillion economic relief bill was signed into law. We are continuing to evaluate the impact of the CARES Act including related stimulus and economic relief actions on our business.</w:t>
      </w:r>
    </w:p>
    <w:p>
      <w:pPr>
        <w:spacing w:after="0" w:line="188"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Since the end of our first quarter, COVID-19 has continued to impact our customers, markets and operations, including supply chain disruptions, delays of certain supplier deliveries, difficulties gaining access to certain locations, difficulties gaining access to customers, and decreased demand requirements of certain of our commercial aero, power and satcom customers. Importantly, COVID-19 customer and contractor-related travel and social distancing restrictions have delayed a number of our target drone, tactical drone and rocket system programs, missions and exercises. The extent to which COVID-19 may further impact our business depends on future developments, which are highly uncertain and unpredictable, including new information concerning the severity of the outbreak and the effectiveness of actions globally to contain or mitigate its effects. While we currently do not expect this matter to have a material impact on our results of operations, cash flows and financial position, the current level of uncertainty over the economic, business and operational impacts of COVID-19 means the related financial impact cannot be reasonably estimated at this time. Our Consolidated Financial Statements and Management’s Discussion and Analysis of Financial Condition and Results of Operations reflect estimates and assumptions made by management as of December 27, 2020. Events and changes in circumstances arising after December 27, 2020, including those resulting from the continuing impacts of COVID-19, will be reflected in management’s estimates for future periods.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Reporting Segments</w:t>
      </w:r>
    </w:p>
    <w:p>
      <w:pPr>
        <w:spacing w:after="0" w:line="229"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The Company currently operates in two reportable segments. The Kratos Government Solutions (“KGS”) reportable segment is comprised of an aggregation of KGS operating segments, including our microwave electronic products, space, training and cybersecurity, C5ISR/modular systems, turbine technologies, and defense and rocket support services operating segments. The Unmanned Systems (“US”) reportable segment consists of our unmanned aerial, unmanned ground and unmanned seaborne system products.</w:t>
      </w:r>
    </w:p>
    <w:p>
      <w:pPr>
        <w:spacing w:after="0" w:line="21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organize our operating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14 of the Notes to Consolidated Financial Statements contained within this Annual Report. From a customer and solutions perspective, we view our business as an integrated whole, leveraging skills and assets wherever possible.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We believe that our intellectual property, proprietary products, and technology are strongly aligned with certain of the highest priority spending areas of the DoD including the 2018 and 2020 National Defense Strategy documents, and the DoD’s focus on leveraging technology to defeat or deter peer and near-peer adversaries. We also believe that our proven ability to rapidly design, develop, demonstrate and field disruptive, transformative and leading technology products and systems at an affordable cost differentiates us from our competitors. We believe that our longstanding customer relationships, and the</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 w:name="page6"/>
    <w:bookmarkEnd w:id="5"/>
    <w:p>
      <w:pPr>
        <w:ind w:right="760"/>
        <w:spacing w:after="0" w:line="261" w:lineRule="auto"/>
        <w:rPr>
          <w:sz w:val="20"/>
          <w:szCs w:val="20"/>
          <w:color w:val="auto"/>
        </w:rPr>
      </w:pPr>
      <w:r>
        <w:rPr>
          <w:rFonts w:ascii="Arial" w:cs="Arial" w:eastAsia="Arial" w:hAnsi="Arial"/>
          <w:sz w:val="18"/>
          <w:szCs w:val="18"/>
          <w:color w:val="auto"/>
        </w:rPr>
        <w:t>designed-in position of our systems, technology and products into our customers’ platforms, programs and systems, provide a unique competitive advantage and position us well for accelerated growth.</w:t>
      </w:r>
    </w:p>
    <w:p>
      <w:pPr>
        <w:spacing w:after="0" w:line="19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Specialized national security focus aligned with mission-critical national security priorities. </w:t>
      </w:r>
      <w:r>
        <w:rPr>
          <w:rFonts w:ascii="Arial" w:cs="Arial" w:eastAsia="Arial" w:hAnsi="Arial"/>
          <w:sz w:val="17"/>
          <w:szCs w:val="17"/>
          <w:color w:val="auto"/>
        </w:rPr>
        <w:t>Continued concerns related to the threats posed by</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foreign nations, including nations with peer or near peer capabilities have caused the U.S. Government to identify national security as an area of functional and spending priority. Budget pressures, particularly related to DoD spending, have placed a premium on developing and fielding low-cost, high-technology solutions to assist in national security missions. While recent budget pressures have at times caused delays in orders for our business, current budget projections, including the recently enacted FY 2021 spending bill, suggest defense spending will continue to be significant over the next few years. The outlook for defense spending is primarily focused on enhanced power projection, warfighting readiness, lethality, and recapitalization of key strategic defense systems to address peer and near peer threats. Our primary capabilities and areas of focus, listed below, are strongly aligned with the objectives of the U.S. Government as outlined in the 2018 and 2020 National Defense Strategy documents:</w:t>
      </w:r>
    </w:p>
    <w:p>
      <w:pPr>
        <w:spacing w:after="0" w:line="178" w:lineRule="exact"/>
        <w:rPr>
          <w:sz w:val="20"/>
          <w:szCs w:val="20"/>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Unmanned aerial drone, unmanned ground and unmanned seaborne systems and artificial intelligence.</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Satellite communications and radio frequency interference detection location and mitigation.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Microwave electronics supporting warfare, missile, radar and communication systems.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Electronic warfare, attack, missile, and radar systems.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Intelligence, surveillance and reconnaissance.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Ballistic missile defense and hypersonic systems.</w:t>
      </w:r>
    </w:p>
    <w:p>
      <w:pPr>
        <w:spacing w:after="0" w:line="9" w:lineRule="exact"/>
        <w:rPr>
          <w:rFonts w:ascii="Arial" w:cs="Arial" w:eastAsia="Arial" w:hAnsi="Arial"/>
          <w:sz w:val="18"/>
          <w:szCs w:val="18"/>
          <w:color w:val="auto"/>
        </w:rPr>
      </w:pPr>
    </w:p>
    <w:p>
      <w:pPr>
        <w:ind w:left="1300" w:hanging="320"/>
        <w:spacing w:after="0" w:line="236"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C5ISR systems, including Strategic Deterrence Systems.</w:t>
      </w: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Cybersecurity and information assurance, and</w:t>
      </w:r>
    </w:p>
    <w:p>
      <w:pPr>
        <w:spacing w:after="0" w:line="7" w:lineRule="exact"/>
        <w:rPr>
          <w:rFonts w:ascii="Arial" w:cs="Arial" w:eastAsia="Arial" w:hAnsi="Arial"/>
          <w:sz w:val="18"/>
          <w:szCs w:val="18"/>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Specialized training systems and operational readiness.</w:t>
      </w:r>
    </w:p>
    <w:p>
      <w:pPr>
        <w:spacing w:after="0" w:line="238" w:lineRule="exact"/>
        <w:rPr>
          <w:sz w:val="20"/>
          <w:szCs w:val="20"/>
          <w:color w:val="auto"/>
        </w:rPr>
      </w:pPr>
    </w:p>
    <w:p>
      <w:pPr>
        <w:ind w:firstLine="567"/>
        <w:spacing w:after="0" w:line="251" w:lineRule="auto"/>
        <w:rPr>
          <w:sz w:val="20"/>
          <w:szCs w:val="20"/>
          <w:color w:val="auto"/>
        </w:rPr>
      </w:pPr>
      <w:r>
        <w:rPr>
          <w:rFonts w:ascii="Arial" w:cs="Arial" w:eastAsia="Arial" w:hAnsi="Arial"/>
          <w:sz w:val="17"/>
          <w:szCs w:val="17"/>
          <w:i w:val="1"/>
          <w:iCs w:val="1"/>
          <w:color w:val="auto"/>
        </w:rPr>
        <w:t xml:space="preserve">IP-centric defense company with proprietary products and technology which address critical current and emerging threats faced by U.S. and allied militaries. </w:t>
      </w:r>
      <w:r>
        <w:rPr>
          <w:rFonts w:ascii="Arial" w:cs="Arial" w:eastAsia="Arial" w:hAnsi="Arial"/>
          <w:sz w:val="17"/>
          <w:szCs w:val="17"/>
          <w:color w:val="auto"/>
        </w:rPr>
        <w:t>As a technology-focused defense company at the forefront of the DoD’s strategy for technology rich, transformative, disruptive and affordable</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our current and growing portfolio of proprietary systems, products, solutions, and related intellectual property addresses some of the most critical mission needs and requirements of U.S. and allied militaries in the fields of unmanned systems, space &amp; satellite communications, microwave electronics, cybersecurity/warfare, missile defense, combat and training systems. A key element of our customers’ strategy, and where we have invested significantly, is the development of capabilities and intellectual property addressing the recent challenges faced by U.S. and allied militaries in potential Anti-Access and Aerial-Denial (“A2/AD”) environments. This is evidenced by our significant investment in high-performance Unmanned Aerial Drone System (“UADS”) platforms and technology, which has culminated in a series of Unmanned Combat Aerial System (“UCAS”) contract wins. Additionally, with our space &amp; satellite and terrestrial ground segment command, control, radio frequency interference monitoring, geolocation and mitigation products and capabilities, we believe we are well-positioned to capitalize on the DoD budget for space investments, a significant portion of which is for the development and protection of U.S. national security space assets and infrastructure. Accordingly, our proprietary products, systems and technologies are developed and refined with the goal of enabling our customers to maintain an advantage over the advanced and constantly evolving threats of adversaries, at an affordable cost. In many instances, we are one of the few companies that produce the mission-critical technology our customers require, or we outperformed our peers in a competitive bidding process. We maintain a strategy of internally funding research and development and owning the intellectual property of many of these high-performance capabilities and systems.</w:t>
      </w:r>
    </w:p>
    <w:p>
      <w:pPr>
        <w:spacing w:after="0" w:line="214" w:lineRule="exact"/>
        <w:rPr>
          <w:sz w:val="20"/>
          <w:szCs w:val="20"/>
          <w:color w:val="auto"/>
        </w:rPr>
      </w:pPr>
    </w:p>
    <w:p>
      <w:pPr>
        <w:ind w:right="20" w:firstLine="567"/>
        <w:spacing w:after="0" w:line="269" w:lineRule="auto"/>
        <w:rPr>
          <w:sz w:val="20"/>
          <w:szCs w:val="20"/>
          <w:color w:val="auto"/>
        </w:rPr>
      </w:pPr>
      <w:r>
        <w:rPr>
          <w:rFonts w:ascii="Arial" w:cs="Arial" w:eastAsia="Arial" w:hAnsi="Arial"/>
          <w:sz w:val="17"/>
          <w:szCs w:val="17"/>
          <w:i w:val="1"/>
          <w:iCs w:val="1"/>
          <w:color w:val="auto"/>
        </w:rPr>
        <w:t xml:space="preserve">Technology-driven company aligned with and supporting our customers’ increased innovation, technology, and strategic national security initiatives, with focus on speed and affordability. </w:t>
      </w:r>
      <w:r>
        <w:rPr>
          <w:rFonts w:ascii="Arial" w:cs="Arial" w:eastAsia="Arial" w:hAnsi="Arial"/>
          <w:sz w:val="17"/>
          <w:szCs w:val="17"/>
          <w:color w:val="auto"/>
        </w:rPr>
        <w:t>As the DoD works to increase or maintain its technological advantage over adversaries, it has continued</w:t>
      </w:r>
      <w:r>
        <w:rPr>
          <w:rFonts w:ascii="Arial" w:cs="Arial" w:eastAsia="Arial" w:hAnsi="Arial"/>
          <w:sz w:val="17"/>
          <w:szCs w:val="17"/>
          <w:i w:val="1"/>
          <w:iCs w:val="1"/>
          <w:color w:val="auto"/>
        </w:rPr>
        <w:t xml:space="preserve"> </w:t>
      </w:r>
      <w:r>
        <w:rPr>
          <w:rFonts w:ascii="Arial" w:cs="Arial" w:eastAsia="Arial" w:hAnsi="Arial"/>
          <w:sz w:val="17"/>
          <w:szCs w:val="17"/>
          <w:color w:val="auto"/>
        </w:rPr>
        <w:t>its efforts to create breakthrough technologies for national security, accelerate innovation to the warfighter, and repurpose current capabilities to create cost-effective, disruptive technology advances. With our focus on delivering proven leading edge systems, products and technologies that address the most critical current and emerging threats, our customers include some of the most technologically advanced organizations of the defense establishment, including the Defense Innovation Unit (“DIU”) (formerly the Defense Innovation Unit Experimental (“DIUx”)), Defense Advanced Research Projects Agency (“DARPA”), Air Force Research Laboratory (“AFRL”), the Strategic Capabilities Office (SCO), the Strategic Command (STRATCOM), the National Aeronautics and Space Administration, the U.S. intelligence community, and other confidential customers. We believe our focus on constant innovation, capability improvements across our product and solutions portfolio, speed of development, and production and affordability are key differentiators that align us with and address our customers’ key initiatives.</w:t>
      </w:r>
    </w:p>
    <w:p>
      <w:pPr>
        <w:spacing w:after="0" w:line="185" w:lineRule="exact"/>
        <w:rPr>
          <w:sz w:val="20"/>
          <w:szCs w:val="20"/>
          <w:color w:val="auto"/>
        </w:rPr>
      </w:pPr>
    </w:p>
    <w:p>
      <w:pPr>
        <w:ind w:right="100" w:firstLine="567"/>
        <w:spacing w:after="0" w:line="259" w:lineRule="auto"/>
        <w:rPr>
          <w:sz w:val="20"/>
          <w:szCs w:val="20"/>
          <w:color w:val="auto"/>
        </w:rPr>
      </w:pPr>
      <w:r>
        <w:rPr>
          <w:rFonts w:ascii="Arial" w:cs="Arial" w:eastAsia="Arial" w:hAnsi="Arial"/>
          <w:sz w:val="18"/>
          <w:szCs w:val="18"/>
          <w:i w:val="1"/>
          <w:iCs w:val="1"/>
          <w:color w:val="auto"/>
        </w:rPr>
        <w:t xml:space="preserve">In-depth understanding of customer missions. </w:t>
      </w:r>
      <w:r>
        <w:rPr>
          <w:rFonts w:ascii="Arial" w:cs="Arial" w:eastAsia="Arial" w:hAnsi="Arial"/>
          <w:sz w:val="18"/>
          <w:szCs w:val="18"/>
          <w:color w:val="auto"/>
        </w:rPr>
        <w:t>We have a reputation for successfully and rapidly designing, developing, demonstrating and fielding</w:t>
      </w:r>
      <w:r>
        <w:rPr>
          <w:rFonts w:ascii="Arial" w:cs="Arial" w:eastAsia="Arial" w:hAnsi="Arial"/>
          <w:sz w:val="18"/>
          <w:szCs w:val="18"/>
          <w:i w:val="1"/>
          <w:iCs w:val="1"/>
          <w:color w:val="auto"/>
        </w:rPr>
        <w:t xml:space="preserve"> </w:t>
      </w:r>
      <w:r>
        <w:rPr>
          <w:rFonts w:ascii="Arial" w:cs="Arial" w:eastAsia="Arial" w:hAnsi="Arial"/>
          <w:sz w:val="18"/>
          <w:szCs w:val="18"/>
          <w:color w:val="auto"/>
        </w:rPr>
        <w:t>mission-critical products, solutions and services to our customers, at an affordable cost. Our long-term relationships with the U.S. Air Force, U.S. Army, U.S. Navy and other national security related customers and agencies enable us to develop an in-depth understanding of their missions, problems and technical requirements. In addition, a</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ind w:right="20"/>
        <w:spacing w:after="0" w:line="275" w:lineRule="auto"/>
        <w:rPr>
          <w:sz w:val="20"/>
          <w:szCs w:val="20"/>
          <w:color w:val="auto"/>
        </w:rPr>
      </w:pPr>
      <w:r>
        <w:rPr>
          <w:rFonts w:ascii="Arial" w:cs="Arial" w:eastAsia="Arial" w:hAnsi="Arial"/>
          <w:sz w:val="17"/>
          <w:szCs w:val="17"/>
          <w:color w:val="auto"/>
        </w:rPr>
        <w:t>substantial number of our employees are located at our customer locations, or at secure manufacturing facilities, all of which provides Kratos with valuable strategic insight into our customers’ ongoing missions and future program and mission requirements. This understanding of our customers’ missions, requirements, and needs, in conjunction with the strategic location of our employees, enables us to offer technical solutions tailored to our customers’ specific requirements and evolving mission objectives. In addition, once our products are “designed in” and we are on-site with a customer and providing our products and solutions, we have historically been successful in winning new and recompete business.</w:t>
      </w:r>
    </w:p>
    <w:p>
      <w:pPr>
        <w:spacing w:after="0" w:line="176" w:lineRule="exact"/>
        <w:rPr>
          <w:sz w:val="20"/>
          <w:szCs w:val="20"/>
          <w:color w:val="auto"/>
        </w:rPr>
      </w:pPr>
    </w:p>
    <w:p>
      <w:pPr>
        <w:ind w:right="20" w:firstLine="567"/>
        <w:spacing w:after="0" w:line="254" w:lineRule="auto"/>
        <w:rPr>
          <w:sz w:val="20"/>
          <w:szCs w:val="20"/>
          <w:color w:val="auto"/>
        </w:rPr>
      </w:pPr>
      <w:r>
        <w:rPr>
          <w:rFonts w:ascii="Arial" w:cs="Arial" w:eastAsia="Arial" w:hAnsi="Arial"/>
          <w:sz w:val="18"/>
          <w:szCs w:val="18"/>
          <w:color w:val="auto"/>
        </w:rPr>
        <w:t>Kratos is an industry leader in high performance, jet powered, unmanned aerial target drone systems which are designed to replicate state of the art adversarial fighter aircraft, missiles, drones and other threats. Kratos is the sole source or primary unmanned aerial target drone system provider to the U.S. Air Force, Navy, Army, and numerous allied foreign defense agencies. Leveraging off of this technology, for which Kratos owns important intellectual property, we made a significant investment over the past seven years developing Kratos’ first UCAS, our Unmanned Tactical Aerial Platform (“UTAP-22”), now formally called “Mako.” After successfully achieving the Mako’s first concept flights at the end of 2015, in 2016 we received a $12.6 million single-award contract to demonstrate certain payload integration and loyal wingman teaming with manned aircraft in a major military exercise. At the time, this contract was one of the largest awarded contracts by the DIUx. We are currently under contract with several additional customers related to Kratos’ Mako.</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select sample of Kratos’ other key unmanned aerial systems (“UAS”) products and contracts includes:</w:t>
      </w:r>
    </w:p>
    <w:p>
      <w:pPr>
        <w:spacing w:after="0" w:line="225" w:lineRule="exact"/>
        <w:rPr>
          <w:sz w:val="20"/>
          <w:szCs w:val="20"/>
          <w:color w:val="auto"/>
        </w:rPr>
      </w:pPr>
    </w:p>
    <w:p>
      <w:pPr>
        <w:ind w:left="1300" w:right="60" w:hanging="320"/>
        <w:spacing w:after="0" w:line="254" w:lineRule="auto"/>
        <w:tabs>
          <w:tab w:leader="none" w:pos="1295"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2017, we successfully advanced to Phase II of the Gremlins program, awarded by DARPA, the U.S. Government’s leader in breakthrough technologies for national security, teamed with our partner company, Dynetics. In 2018, as part of the Dynetics led team, we were selected for award on Phase III of the Gremlins program to demonstrate safe and reliable launch and aerial recovery of multiple unmanned drone system aircraft, capable of employing and recovering diverse distributed payloads in volley quantities. In January 2020, DARPA and Dynetics announced that the successful first flight of the X-61A Gremlins Air Vehicle was completed on November 23, 2019. A second successful flight test was completed in July 2020, satisfying major technical and program milestones while significantly reducing risk. A third successful flight test was conducted in November 2020. This third flight was originally scheduled for earlier in 2020 and was delayed due to COVID-19 related and range restrictions.</w:t>
      </w:r>
    </w:p>
    <w:p>
      <w:pPr>
        <w:spacing w:after="0" w:line="207" w:lineRule="exact"/>
        <w:rPr>
          <w:rFonts w:ascii="Arial" w:cs="Arial" w:eastAsia="Arial" w:hAnsi="Arial"/>
          <w:sz w:val="17"/>
          <w:szCs w:val="17"/>
          <w:color w:val="auto"/>
        </w:rPr>
      </w:pPr>
    </w:p>
    <w:p>
      <w:pPr>
        <w:ind w:left="1300" w:hanging="320"/>
        <w:spacing w:after="0"/>
        <w:tabs>
          <w:tab w:leader="none" w:pos="129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2016, we were awarded the AFRL Low Cost Attritable Strike Demonstration (“LCASD”) UCAS single-award cost share contract. The LCASD UCAS, or Valkyrie, is an approximately 30 foot by 22 foot unmanned strike aerial drone system. During 2019, approximately 30 months after aircraft conception, the Company announced that the Kratos/AFRL team successfully completed three flights for the Valkyrie, or the XQ-58A. In January 2020, the Company completed its fourth demonstration flight, including the successful deployment of its parachutes, and landed normally, validating the design changes incorporated for the test flight airbag system following the third flight in 2019.</w:t>
      </w:r>
    </w:p>
    <w:p>
      <w:pPr>
        <w:spacing w:after="0" w:line="216"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2019, the Kratos XQ-58A Valkyrie was awarded Aviation Week’s Laureate Award for Defense Technology and Innovation.</w:t>
      </w:r>
    </w:p>
    <w:p>
      <w:pPr>
        <w:spacing w:after="0" w:line="157" w:lineRule="exact"/>
        <w:rPr>
          <w:rFonts w:ascii="Arial" w:cs="Arial" w:eastAsia="Arial" w:hAnsi="Arial"/>
          <w:sz w:val="18"/>
          <w:szCs w:val="18"/>
          <w:color w:val="auto"/>
        </w:rPr>
      </w:pPr>
    </w:p>
    <w:p>
      <w:pPr>
        <w:ind w:left="1300" w:right="20" w:hanging="320"/>
        <w:spacing w:after="0" w:line="290" w:lineRule="auto"/>
        <w:tabs>
          <w:tab w:leader="none" w:pos="1295"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July 2020, the Company was awarded a five-year indefinite delivery indefinite quantity (“IDIQ”) contract valued at up to $400 million for the development, integration, and prototype air vehicle delivery in support of the Air Force’s Skyborg program. In December 2020, Kratos was awarded a $37.7 million contract from the AFLCMC/WA Advanced Aircraft Program Executive Office for the Skyborg Delivery Order 2 to integrate, test and deliver XQ-58A Valkyrie aircraft. The contract includes three phases of design, integration, and flight testing of the XQ-58A Valkyrie or other systems, integrating multiple customer-defined mission payloads and customer-defined autonomy in coordination/cooperation with the Skyborg System Design Agent. Leidos. Kratos currently works in partnership with Leidos’ Dynetics on the Gremlins Program. In addition, in December we received a $17.8 million award from the AFRL for work in support of the government’s Low Cost Attritable Aircraft Technology (LCAAT) efforts, including as related to the XQ-58A Valkyrie.</w:t>
      </w:r>
    </w:p>
    <w:p>
      <w:pPr>
        <w:spacing w:after="0" w:line="84" w:lineRule="exact"/>
        <w:rPr>
          <w:rFonts w:ascii="Arial" w:cs="Arial" w:eastAsia="Arial" w:hAnsi="Arial"/>
          <w:sz w:val="16"/>
          <w:szCs w:val="16"/>
          <w:color w:val="auto"/>
        </w:rPr>
      </w:pPr>
    </w:p>
    <w:p>
      <w:pPr>
        <w:ind w:left="1300" w:right="240" w:hanging="320"/>
        <w:spacing w:after="0" w:line="259" w:lineRule="auto"/>
        <w:tabs>
          <w:tab w:leader="none" w:pos="129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December 2020, the Kratos Valkyrie UAS AttritableONE (as referred to by the United States Air Force) completed a successful demonstration flight enabling the F-22 and F-35 5th generation fighters to fly in formation together in a test led by an integrated Advanced Battle Management System (“ABMS”) acquisition team comprised of AFRL and Air Force Life Cycle Management Center personnel, in conjunction with Eglin Air Force Base’s 46th Test Squadron.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 w:name="page8"/>
    <w:bookmarkEnd w:id="7"/>
    <w:p>
      <w:pPr>
        <w:ind w:left="1300" w:right="220" w:hanging="320"/>
        <w:spacing w:after="0" w:line="263"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Similar to the Gremlins and other Kratos tactical drone initiatives and programs, Kratos Valkyrie progress has been significantly adversely impacted by the COVID-19 pandemic, including DoD related travel, social distancing and test, evaluation and weapon range access restrictions.</w:t>
      </w:r>
    </w:p>
    <w:p>
      <w:pPr>
        <w:spacing w:after="0" w:line="116" w:lineRule="exact"/>
        <w:rPr>
          <w:rFonts w:ascii="Arial" w:cs="Arial" w:eastAsia="Arial" w:hAnsi="Arial"/>
          <w:sz w:val="18"/>
          <w:szCs w:val="18"/>
          <w:color w:val="auto"/>
        </w:rPr>
      </w:pPr>
    </w:p>
    <w:p>
      <w:pPr>
        <w:ind w:left="1300" w:right="100" w:hanging="320"/>
        <w:spacing w:after="0" w:line="280" w:lineRule="auto"/>
        <w:tabs>
          <w:tab w:leader="none" w:pos="1295"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redeveloped our Air Force Subscale Aerial Target BQM-167 into what we believe to be one of the highest performance unmanned aircraft in the world, the U.S. Navy Sub-Sonic Aerial Target (“SSAT”) Drone BQM-177A, with low rate initial production awarded to Kratos in June 2017. In 2018, delivery of the first production aerial targets was made to the U.S. Navy, and achievement of Initial Operational Capability (IOC) was reported by the U.S. Navy in February 2019. In 2019, the Company was awarded a $25.4 million contract for Lot 3 of low rate initial production for 34 BQM-177A aerial targets. In 2020, the Company was awarded full rate production Lot 1 and 2 for $29.2 million and $38.7 million, for an additional 35 and 48 BQM-177A aerial targets, respectively. To date, the Company has been awarded production orders for 192 BQM-177A aerial targets. We expect the SSAT program to become one of the largest and most important to Kratos in the near term. Kratos is the sole source provider of the BQM-177A to the United States Navy.</w:t>
      </w:r>
    </w:p>
    <w:p>
      <w:pPr>
        <w:spacing w:after="0" w:line="186" w:lineRule="exact"/>
        <w:rPr>
          <w:rFonts w:ascii="Arial" w:cs="Arial" w:eastAsia="Arial" w:hAnsi="Arial"/>
          <w:sz w:val="16"/>
          <w:szCs w:val="16"/>
          <w:color w:val="auto"/>
        </w:rPr>
      </w:pPr>
    </w:p>
    <w:p>
      <w:pPr>
        <w:ind w:left="1300" w:right="200" w:hanging="320"/>
        <w:spacing w:after="0" w:line="296" w:lineRule="auto"/>
        <w:tabs>
          <w:tab w:leader="none" w:pos="1295"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2018, we received a single award $109 million maximum value three year production contract for Air Force Subscale Aerial Target BQM-167A, with $27 million being initially obligated at the time of award for 30 Lot 14 BQM-167A aerial targets and production support, and an additional $31.9 million being obligated for 35 Lot 15 BQM-167A targets in 2019. To date, the Company has produced 475 BQM-167A targets for the U.S. Air Force. Kratos is the sole source provider of the BQM-167A to the United States Air Force.</w:t>
      </w:r>
    </w:p>
    <w:p>
      <w:pPr>
        <w:spacing w:after="0" w:line="185" w:lineRule="exact"/>
        <w:rPr>
          <w:rFonts w:ascii="Arial" w:cs="Arial" w:eastAsia="Arial" w:hAnsi="Arial"/>
          <w:sz w:val="16"/>
          <w:szCs w:val="16"/>
          <w:color w:val="auto"/>
        </w:rPr>
      </w:pPr>
    </w:p>
    <w:p>
      <w:pPr>
        <w:ind w:left="1300" w:right="38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2018, we received a ten-year, sole source, single award framework contract from QinetiQ UK for Kratos’ MQM-178 Firejet aerial targets, spares, ground support equipment, technical services, and training.</w:t>
      </w:r>
    </w:p>
    <w:p>
      <w:pPr>
        <w:spacing w:after="0" w:line="89" w:lineRule="exact"/>
        <w:rPr>
          <w:rFonts w:ascii="Arial" w:cs="Arial" w:eastAsia="Arial" w:hAnsi="Arial"/>
          <w:sz w:val="18"/>
          <w:szCs w:val="18"/>
          <w:color w:val="auto"/>
        </w:rPr>
      </w:pPr>
    </w:p>
    <w:p>
      <w:pPr>
        <w:ind w:left="1300" w:right="10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2018, we were awarded a prime contract with the United States Army, for the Aerial Target Systems 2 (ATS-2), Multiple Award IDIQ Contract with a ceiling value of $93.3 million, and a five year period of performance.</w:t>
      </w:r>
    </w:p>
    <w:p>
      <w:pPr>
        <w:spacing w:after="0" w:line="102" w:lineRule="exact"/>
        <w:rPr>
          <w:rFonts w:ascii="Arial" w:cs="Arial" w:eastAsia="Arial" w:hAnsi="Arial"/>
          <w:sz w:val="18"/>
          <w:szCs w:val="18"/>
          <w:color w:val="auto"/>
        </w:rPr>
      </w:pPr>
    </w:p>
    <w:p>
      <w:pPr>
        <w:ind w:left="1300" w:right="60" w:hanging="320"/>
        <w:spacing w:after="0" w:line="279" w:lineRule="auto"/>
        <w:tabs>
          <w:tab w:leader="none" w:pos="1295"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2018, we received a sole source, single award multi-year IDIQ contract from the Swedish Defence Materiel Administration for our MQM-178 Firejet aerial target aircraft and associated ground support equipment, spares, payloads, components, expendables and support services. The first order under the three-year IDIQ contract was received in the first half of 2019. Additionally, there are two three-year exercisable option periods for a total potential contract performance term of nine years.</w:t>
      </w:r>
    </w:p>
    <w:p>
      <w:pPr>
        <w:spacing w:after="0" w:line="103" w:lineRule="exact"/>
        <w:rPr>
          <w:rFonts w:ascii="Arial" w:cs="Arial" w:eastAsia="Arial" w:hAnsi="Arial"/>
          <w:sz w:val="17"/>
          <w:szCs w:val="17"/>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2019, the Company produced its first MQM-178 Firejet target drones at its new production facility in Oklahoma City.</w:t>
      </w:r>
    </w:p>
    <w:p>
      <w:pPr>
        <w:spacing w:after="0" w:line="144" w:lineRule="exact"/>
        <w:rPr>
          <w:sz w:val="20"/>
          <w:szCs w:val="20"/>
          <w:color w:val="auto"/>
        </w:rPr>
      </w:pPr>
    </w:p>
    <w:p>
      <w:pPr>
        <w:ind w:firstLine="567"/>
        <w:spacing w:after="0" w:line="269" w:lineRule="auto"/>
        <w:rPr>
          <w:sz w:val="20"/>
          <w:szCs w:val="20"/>
          <w:color w:val="auto"/>
        </w:rPr>
      </w:pPr>
      <w:r>
        <w:rPr>
          <w:rFonts w:ascii="Arial" w:cs="Arial" w:eastAsia="Arial" w:hAnsi="Arial"/>
          <w:sz w:val="16"/>
          <w:szCs w:val="16"/>
          <w:color w:val="auto"/>
        </w:rPr>
        <w:t>We believe that our internally developed and owned intellectual property allows us to rapidly provide more capable jet powered, unmanned aircraft, designed to fly in A2/AD environments and with performance capabilities equal to or greater than fourth generation manned jet fighter aircraft, at an affordable cost. Kratos’ tactical UAS provide force multiplication and augmentation for manned high-performance fighter aircraft. We believe that there are very few high-performance UAS that are affordable and as advanced as our technologies addressing the A2/AD environment, which the DoD has identified as a U.S. capabilities gap. As such, consistent with the needs and requirements of the U.S. and allied militaries, we believe that our leadership in these types of high-performance unmanned aircraft provides us with a future market opportunity of these types of low-cost, high-performance systems. The DoD has stated that they intend to field a family of new next generation drone aircraft, including UCAVs that can successfully perform their mission in highly</w:t>
      </w:r>
    </w:p>
    <w:p>
      <w:pPr>
        <w:spacing w:after="0" w:line="2" w:lineRule="exact"/>
        <w:rPr>
          <w:sz w:val="20"/>
          <w:szCs w:val="20"/>
          <w:color w:val="auto"/>
        </w:rPr>
      </w:pPr>
    </w:p>
    <w:p>
      <w:pPr>
        <w:ind w:right="180"/>
        <w:spacing w:after="0" w:line="306" w:lineRule="auto"/>
        <w:rPr>
          <w:sz w:val="20"/>
          <w:szCs w:val="20"/>
          <w:color w:val="auto"/>
        </w:rPr>
      </w:pPr>
      <w:r>
        <w:rPr>
          <w:rFonts w:ascii="Arial" w:cs="Arial" w:eastAsia="Arial" w:hAnsi="Arial"/>
          <w:sz w:val="17"/>
          <w:szCs w:val="17"/>
          <w:color w:val="auto"/>
        </w:rPr>
        <w:t>contested, A2/AD environments. This “family” of drones includes disposable, reusable, attritable and exquisite types of UCAS. Kratos has four drones in the disposable, reusable and attritable class flying today that we can publically disclose, i.e., Air Wolf, Mako, Gremlins and Valkyrie.</w:t>
      </w:r>
    </w:p>
    <w:p>
      <w:pPr>
        <w:spacing w:after="0" w:line="162" w:lineRule="exact"/>
        <w:rPr>
          <w:sz w:val="20"/>
          <w:szCs w:val="20"/>
          <w:color w:val="auto"/>
        </w:rPr>
      </w:pPr>
    </w:p>
    <w:p>
      <w:pPr>
        <w:ind w:right="20" w:firstLine="567"/>
        <w:spacing w:after="0" w:line="270" w:lineRule="auto"/>
        <w:rPr>
          <w:sz w:val="20"/>
          <w:szCs w:val="20"/>
          <w:color w:val="auto"/>
        </w:rPr>
      </w:pPr>
      <w:r>
        <w:rPr>
          <w:rFonts w:ascii="Arial" w:cs="Arial" w:eastAsia="Arial" w:hAnsi="Arial"/>
          <w:sz w:val="16"/>
          <w:szCs w:val="16"/>
          <w:color w:val="auto"/>
        </w:rPr>
        <w:t>Kratos is also an industry leader in ground-based command, control and communications systems for satellites, and a leader in related radio frequency interference identification, geolocation and mitigation, or Space Situational Awareness (SSA). Our primary customers include the U.S. Air Force, Space Command and other agencies. Our new OpenSpace™ products and technology is a new approach to enable dynamic ground system operations to turn hardware to software that can react rapidly, dynamically and affordably to changing conditions in the satellite industry. Our microwave electronics business products have designed-in positions on critical combat system programs, including Barak, Gripen, Iron Dome, Sling of David, F-15, F-16, Gripen, Arrow and other programs, including space and satellite programs. Our advanced capabilities in the training systems and solutions market, including mixed, virtual and synthetic reality technology for aircraft, combat and other vehicles, have allowed us to successfully remain at the forefront of defense industry readiness initiatives. We believe our strategy of internally funding the research and development of many of our systems, products, solutions and capabilities will continue to solidify our position in high growth markets, such as high performance UADS, satellite communications, microwave electronics and training systems, and allow us to grow, over the long-term, at a rate greater than that of the industry.</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p>
      <w:pPr>
        <w:ind w:firstLine="648"/>
        <w:spacing w:after="0" w:line="255" w:lineRule="auto"/>
        <w:rPr>
          <w:sz w:val="20"/>
          <w:szCs w:val="20"/>
          <w:color w:val="auto"/>
        </w:rPr>
      </w:pPr>
      <w:r>
        <w:rPr>
          <w:rFonts w:ascii="Arial" w:cs="Arial" w:eastAsia="Arial" w:hAnsi="Arial"/>
          <w:sz w:val="18"/>
          <w:szCs w:val="18"/>
          <w:i w:val="1"/>
          <w:iCs w:val="1"/>
          <w:color w:val="auto"/>
        </w:rPr>
        <w:t xml:space="preserve">Diverse base of key contracts with low concentration. </w:t>
      </w:r>
      <w:r>
        <w:rPr>
          <w:rFonts w:ascii="Arial" w:cs="Arial" w:eastAsia="Arial" w:hAnsi="Arial"/>
          <w:sz w:val="18"/>
          <w:szCs w:val="18"/>
          <w:color w:val="auto"/>
        </w:rPr>
        <w:t>Many of our contracts are single-award and/or sole source in nature, where we are the only</w:t>
      </w:r>
      <w:r>
        <w:rPr>
          <w:rFonts w:ascii="Arial" w:cs="Arial" w:eastAsia="Arial" w:hAnsi="Arial"/>
          <w:sz w:val="18"/>
          <w:szCs w:val="18"/>
          <w:i w:val="1"/>
          <w:iCs w:val="1"/>
          <w:color w:val="auto"/>
        </w:rPr>
        <w:t xml:space="preserve"> </w:t>
      </w:r>
      <w:r>
        <w:rPr>
          <w:rFonts w:ascii="Arial" w:cs="Arial" w:eastAsia="Arial" w:hAnsi="Arial"/>
          <w:sz w:val="18"/>
          <w:szCs w:val="18"/>
          <w:color w:val="auto"/>
        </w:rPr>
        <w:t>awardee by the customer. In many cases, our ability to obtain single award, sole source contracts is due to our intellectual property, proprietary products, historical performance qualifications, relative experience and affordability. Additionally, as a result of our business development focus on securing key contracts, we are also a preferred contractor on numerous multi-year, government-wide acquisition contracts (“GWACs”) and multiple award contracts. Our preferred contractor status provides us with the opportunity to bid on billions of dollars of business each year against a discrete number of other pre-qualified companies.</w:t>
      </w:r>
    </w:p>
    <w:p>
      <w:pPr>
        <w:spacing w:after="0" w:line="192"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We have a highly diverse base of customers and contracts with no contract representing more than 5% of 2020 revenue. Our fixed-price contracts, the majority of which are production contracts, represent approximately 75% of our 2020 revenue. Our cost-plus-fee contracts and time and materials contracts represent approximately 20% and 5%, respectively, of our 2020 revenue. We believe our diverse base of key contracts and low reliance on any one contract provides us with a stable, balanced revenue stream. Our recent major contract awards, including a $12.7 million task order to complete a cost optimized turbojet engine for future cruise missiles and attritable UAVs, an $11 million development contract for a next generation satellite program, a $37.7 million Skyborg program contract award from the USAF Advanced Aircraft Office, a $17.8 million contract modification related to the XQ-58A Valkyrie from the AFRL, multiple C5ISR contract awards aggregating $40.5 million in support of National Security Programs, a contract award for the engineering and manufacturing development phase of the Ground Based Strategic Deterrent (“GBSD”) program under an effort that will span 8.5 years, contracts worth $29.2 million and $38.7 million, respectively, for full rate production Lots 1 and 2 for BQM-177A aerial targets, the launch of Microsoft Azure Orbital, a groundbreaking platform in collaboration with Microsoft that provides ground station as a service to the satellite industry, and a $950 million multiple-award, IDIQ contract for the U.S. Air Force ABMS for the maturation, demonstration and proliferation of capability across platforms and domains, leveraging open space systems design, modern software and algorithm development in order to enable Joint All Domain Control.</w:t>
      </w:r>
    </w:p>
    <w:p>
      <w:pPr>
        <w:spacing w:after="0" w:line="168" w:lineRule="exact"/>
        <w:rPr>
          <w:sz w:val="20"/>
          <w:szCs w:val="20"/>
          <w:color w:val="auto"/>
        </w:rPr>
      </w:pPr>
    </w:p>
    <w:p>
      <w:pPr>
        <w:ind w:right="60" w:firstLine="648"/>
        <w:spacing w:after="0" w:line="279" w:lineRule="auto"/>
        <w:rPr>
          <w:sz w:val="20"/>
          <w:szCs w:val="20"/>
          <w:color w:val="auto"/>
        </w:rPr>
      </w:pPr>
      <w:r>
        <w:rPr>
          <w:rFonts w:ascii="Arial" w:cs="Arial" w:eastAsia="Arial" w:hAnsi="Arial"/>
          <w:sz w:val="16"/>
          <w:szCs w:val="16"/>
          <w:i w:val="1"/>
          <w:iCs w:val="1"/>
          <w:color w:val="auto"/>
        </w:rPr>
        <w:t xml:space="preserve">Significant cash flow visibility driven by stable backlog. </w:t>
      </w:r>
      <w:r>
        <w:rPr>
          <w:rFonts w:ascii="Arial" w:cs="Arial" w:eastAsia="Arial" w:hAnsi="Arial"/>
          <w:sz w:val="16"/>
          <w:szCs w:val="16"/>
          <w:color w:val="auto"/>
        </w:rPr>
        <w:t>As of December 27, 2020 and December 29, 2019, our total backlog (see Backlog below)</w:t>
      </w:r>
      <w:r>
        <w:rPr>
          <w:rFonts w:ascii="Arial" w:cs="Arial" w:eastAsia="Arial" w:hAnsi="Arial"/>
          <w:sz w:val="16"/>
          <w:szCs w:val="16"/>
          <w:i w:val="1"/>
          <w:iCs w:val="1"/>
          <w:color w:val="auto"/>
        </w:rPr>
        <w:t xml:space="preserve"> </w:t>
      </w:r>
      <w:r>
        <w:rPr>
          <w:rFonts w:ascii="Arial" w:cs="Arial" w:eastAsia="Arial" w:hAnsi="Arial"/>
          <w:sz w:val="16"/>
          <w:szCs w:val="16"/>
          <w:color w:val="auto"/>
        </w:rPr>
        <w:t>was approximately $922.2 million and $601.2 million respectively, of which approximately $643.3 million was funded in 2020 and $501.3 million was funded in 2019. The majority of our sales are from awards issued under long-term contracts, typically three to five years in duration. Our contract backlog provides visibility into stable future revenue and cash flow over a diverse set of contracts. Importantly, a number of our systems and products are designed-in on and support long term, multi-year/multi-decade programs, which provides significant operational and financial visibility to our Company.</w:t>
      </w:r>
    </w:p>
    <w:p>
      <w:pPr>
        <w:spacing w:after="0" w:line="15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 xml:space="preserve">Highly skilled employees and an experienced management team. </w:t>
      </w:r>
      <w:r>
        <w:rPr>
          <w:rFonts w:ascii="Arial" w:cs="Arial" w:eastAsia="Arial" w:hAnsi="Arial"/>
          <w:sz w:val="16"/>
          <w:szCs w:val="16"/>
          <w:color w:val="auto"/>
        </w:rPr>
        <w:t>We deliver our systems, products and services through a skilled and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engineering and technically oriented workforce of approximately 3,200 employees. Our senior managers have significant experience with U.S. Government agencies, the U.S. military and U.S. Government contractors. A significant number of Kratos employees hold national security clearances. Members of our management team have experience growing businesses both organically and through acquisitions and delivering significant value to stakeholders. We believe that the cumulative experience and differentiated expertise of our personnel in our core focus areas, coupled with our sizable and technically oriented employee base, allow us to qualify for and bid on larger programs and contracts in a prime contracting role.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62" w:lineRule="exact"/>
        <w:rPr>
          <w:sz w:val="20"/>
          <w:szCs w:val="20"/>
          <w:color w:val="auto"/>
        </w:rPr>
      </w:pPr>
    </w:p>
    <w:p>
      <w:pPr>
        <w:ind w:right="160" w:firstLine="648"/>
        <w:spacing w:after="0" w:line="284" w:lineRule="auto"/>
        <w:rPr>
          <w:sz w:val="20"/>
          <w:szCs w:val="20"/>
          <w:color w:val="auto"/>
        </w:rPr>
      </w:pPr>
      <w:r>
        <w:rPr>
          <w:rFonts w:ascii="Arial" w:cs="Arial" w:eastAsia="Arial" w:hAnsi="Arial"/>
          <w:sz w:val="16"/>
          <w:szCs w:val="16"/>
          <w:color w:val="auto"/>
        </w:rPr>
        <w:t>Our strategy is to focus on our core business areas, including unmanned systems, space and satellite communications, cybersecurity, microwave electronics, missile defense and hypersonic systems, turbine technologies, training systems and C5ISR systems, which are closely aligned with the DoD’s mission and funding priorities. We will continue to invest in differentiating systems, products, technology and intellectual property. We intend to be the leader in rapidly developing, demonstrating and delivering to the warfighter proven leading technology systems, at an affordable cost.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Growth</w:t>
      </w:r>
    </w:p>
    <w:p>
      <w:pPr>
        <w:spacing w:after="0" w:line="148" w:lineRule="exact"/>
        <w:rPr>
          <w:sz w:val="20"/>
          <w:szCs w:val="20"/>
          <w:color w:val="auto"/>
        </w:rPr>
      </w:pPr>
    </w:p>
    <w:p>
      <w:pPr>
        <w:ind w:right="140" w:firstLine="648"/>
        <w:spacing w:after="0" w:line="284" w:lineRule="auto"/>
        <w:rPr>
          <w:sz w:val="20"/>
          <w:szCs w:val="20"/>
          <w:color w:val="auto"/>
        </w:rPr>
      </w:pPr>
      <w:r>
        <w:rPr>
          <w:rFonts w:ascii="Arial" w:cs="Arial" w:eastAsia="Arial" w:hAnsi="Arial"/>
          <w:sz w:val="16"/>
          <w:szCs w:val="16"/>
          <w:color w:val="auto"/>
        </w:rPr>
        <w:t>We are focused on generating internal growth by capitalizing on our ability to rapidly develop, demonstrate and field leading technology systems and products at an affordable cost. We will make targeted discretionary investments in mission critical DoD priority areas, including unmanned systems, space and satellite communications, cybersecurity, microwave electronics, missile defense, turbine technologies, and training systems, which have the highest potential for growth based on recent DoD funding requests, and in which we will retain the intellectual property rights.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Expand technology product, solution and service offerings provided to existing customers. </w:t>
      </w:r>
      <w:r>
        <w:rPr>
          <w:rFonts w:ascii="Arial" w:cs="Arial" w:eastAsia="Arial" w:hAnsi="Arial"/>
          <w:sz w:val="16"/>
          <w:szCs w:val="16"/>
          <w:color w:val="auto"/>
        </w:rPr>
        <w:t>We are focused on expanding the technology, products,</w:t>
      </w:r>
    </w:p>
    <w:p>
      <w:pPr>
        <w:spacing w:after="0" w:line="46"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systems and solutions we provide to our current customers by leveraging our strong relationships, technical capabilities, intellectual property and past performance qualifications as well as by offering a wider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9" w:name="page10"/>
    <w:bookmarkEnd w:id="9"/>
    <w:p>
      <w:pPr>
        <w:ind w:right="20"/>
        <w:spacing w:after="0" w:line="296" w:lineRule="auto"/>
        <w:rPr>
          <w:sz w:val="20"/>
          <w:szCs w:val="20"/>
          <w:color w:val="auto"/>
        </w:rPr>
      </w:pPr>
      <w:r>
        <w:rPr>
          <w:rFonts w:ascii="Arial" w:cs="Arial" w:eastAsia="Arial" w:hAnsi="Arial"/>
          <w:sz w:val="16"/>
          <w:szCs w:val="16"/>
          <w:color w:val="auto"/>
        </w:rPr>
        <w:t>range of comprehensive low-cost technology leading and proven products and solutions. In regard to areas of specialization, our product and solution offerings include the manufacturing of specialized defense electronics; integrated technology solutions for satellite command, control and communications; specialized high performance UADS and drone aircraft for tactical and threat representation target purposes; and Unmanned Ground Systems (“UGS”) and Unmanned Seaborne Systems. We believe our understanding of customer needs, missions, requirements and processes, and our ability to rapidly deliver low cost, technology leading systems, products and solutions, position us well for success in the current national security environment.</w:t>
      </w:r>
    </w:p>
    <w:p>
      <w:pPr>
        <w:spacing w:after="0" w:line="9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i w:val="1"/>
          <w:iCs w:val="1"/>
          <w:color w:val="auto"/>
        </w:rPr>
        <w:t xml:space="preserve">Capitalize on current contract base. </w:t>
      </w:r>
      <w:r>
        <w:rPr>
          <w:rFonts w:ascii="Arial" w:cs="Arial" w:eastAsia="Arial" w:hAnsi="Arial"/>
          <w:sz w:val="18"/>
          <w:szCs w:val="18"/>
          <w:color w:val="auto"/>
        </w:rPr>
        <w:t>We are pursuing new program and contract opportunities and awards as we build the business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expanding technology base, intellectual property ownership, contract portfolio, and product, solution and service offerings. We are also aggressively pursuing several national security priority areas, including high performance UADS, satellite communications command, control, communication and signal monitoring products (SSA), microwave electronics for missiles, radars, electronic warfare and communications, cybersecurity solutions, specialized training systems, autonomy and artificial intelligence systems, robotics, directed energy systems, hypersonic systems, electromagnetic rail gun systems and next generation ballistic missile targets. We are also assessing new tactical program areas and platforms to pursue that are consistent with our core capabilities, technology and intellectual property.</w:t>
      </w:r>
    </w:p>
    <w:p>
      <w:pPr>
        <w:spacing w:after="0" w:line="11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i w:val="1"/>
          <w:iCs w:val="1"/>
          <w:color w:val="auto"/>
        </w:rPr>
        <w:t xml:space="preserve">Expand customer and contract base. </w:t>
      </w:r>
      <w:r>
        <w:rPr>
          <w:rFonts w:ascii="Arial" w:cs="Arial" w:eastAsia="Arial" w:hAnsi="Arial"/>
          <w:sz w:val="16"/>
          <w:szCs w:val="16"/>
          <w:color w:val="auto"/>
        </w:rPr>
        <w:t>We are focused on expanding our customer base into areas with significant growth opportunities as indicated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recently enacted FY 2021 spending bill and the 2018 and 2020 National Defense Strategy documents, by leveraging our technology, intellectual property, proprietary products, capabilities, industry reputation, long-term customer relationships and diverse contract base. We also believe that our ability to rapidly develop, demonstrate and field high technology systems and products at an affordable cost is a clear competitive differentiator for our Company. We anticipate that this overall expansion in our capabilities will enable us both to pursue larger program opportunities, higher value work and to further diversify our revenue base across additional U.S. Government, international and commercial customers.</w:t>
      </w:r>
    </w:p>
    <w:p>
      <w:pPr>
        <w:spacing w:after="0" w:line="97" w:lineRule="exact"/>
        <w:rPr>
          <w:sz w:val="20"/>
          <w:szCs w:val="20"/>
          <w:color w:val="auto"/>
        </w:rPr>
      </w:pPr>
    </w:p>
    <w:p>
      <w:pPr>
        <w:ind w:right="300" w:firstLine="648"/>
        <w:spacing w:after="0" w:line="294" w:lineRule="auto"/>
        <w:rPr>
          <w:sz w:val="20"/>
          <w:szCs w:val="20"/>
          <w:color w:val="auto"/>
        </w:rPr>
      </w:pPr>
      <w:r>
        <w:rPr>
          <w:rFonts w:ascii="Arial" w:cs="Arial" w:eastAsia="Arial" w:hAnsi="Arial"/>
          <w:sz w:val="16"/>
          <w:szCs w:val="16"/>
          <w:i w:val="1"/>
          <w:iCs w:val="1"/>
          <w:color w:val="auto"/>
        </w:rPr>
        <w:t xml:space="preserve">Improve operating margins. </w:t>
      </w:r>
      <w:r>
        <w:rPr>
          <w:rFonts w:ascii="Arial" w:cs="Arial" w:eastAsia="Arial" w:hAnsi="Arial"/>
          <w:sz w:val="16"/>
          <w:szCs w:val="16"/>
          <w:color w:val="auto"/>
        </w:rPr>
        <w:t>We believe that we have opportunities to increase our operating margins and improve profitability in the future by</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capitalizing on our corporate infrastructure investments as our business grows, production of our products and systems increases and related revenues increase. We are proactively focused on continuously improving efficiencies, reducing costs, and concentrating our efforts on operational excellence.</w:t>
      </w:r>
    </w:p>
    <w:p>
      <w:pPr>
        <w:spacing w:after="0" w:line="174" w:lineRule="exact"/>
        <w:rPr>
          <w:sz w:val="20"/>
          <w:szCs w:val="20"/>
          <w:color w:val="auto"/>
        </w:rPr>
      </w:pPr>
    </w:p>
    <w:p>
      <w:pPr>
        <w:ind w:right="40" w:firstLine="648"/>
        <w:spacing w:after="0" w:line="272" w:lineRule="auto"/>
        <w:rPr>
          <w:sz w:val="20"/>
          <w:szCs w:val="20"/>
          <w:color w:val="auto"/>
        </w:rPr>
      </w:pPr>
      <w:r>
        <w:rPr>
          <w:rFonts w:ascii="Arial" w:cs="Arial" w:eastAsia="Arial" w:hAnsi="Arial"/>
          <w:sz w:val="16"/>
          <w:szCs w:val="16"/>
          <w:i w:val="1"/>
          <w:iCs w:val="1"/>
          <w:color w:val="auto"/>
        </w:rPr>
        <w:t xml:space="preserve">Invest in strategic growth areas. </w:t>
      </w:r>
      <w:r>
        <w:rPr>
          <w:rFonts w:ascii="Arial" w:cs="Arial" w:eastAsia="Arial" w:hAnsi="Arial"/>
          <w:sz w:val="16"/>
          <w:szCs w:val="16"/>
          <w:color w:val="auto"/>
        </w:rPr>
        <w:t>Over the past several years, we have made significant internally funded investments in strategic growth areas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unmanned tactical aircraft drone systems. Specifically, we have increased internally funded research and development, capital expenditures, non-recurring engineering expenditures, and infrastructure investments, including executive management, bid, proposal and new business capture, pursuit and related expenses. We have made these investments with the intention of developing, demonstrating, fielding and bringing to production high performance jet powered unmanned aerial combat systems. These investments also allow us to retain the intellectual property rights, design and data packages for these platforms and systems, and to ultimately secure sole source production positions in these strategic growth areas. Specifically, since 2012, we have invested over $140 million in our UAS through internally funded research, development and contract design retrofit costs for new platforms under development and capital expenditures for aircraft and related equipment related to this strategic growth area.</w:t>
      </w:r>
    </w:p>
    <w:p>
      <w:pPr>
        <w:spacing w:after="0" w:line="195" w:lineRule="exact"/>
        <w:rPr>
          <w:sz w:val="20"/>
          <w:szCs w:val="20"/>
          <w:color w:val="auto"/>
        </w:rPr>
      </w:pPr>
    </w:p>
    <w:p>
      <w:pPr>
        <w:ind w:left="980" w:hanging="324"/>
        <w:spacing w:after="0" w:line="253" w:lineRule="auto"/>
        <w:tabs>
          <w:tab w:leader="none" w:pos="896"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invested in internally funded research, development and capital expenditures to build our own UTAP-22 (Mako) UAS from 2012 to 2015, and demonstrated the capabilities of the UTAP-22 Mako in a flight demonstration in the fall of 2015 where Kratos Mako drones flew as an unmanned wingman to manned tactical fighter jet aircraft. As a result of these successful flights and capabilities demonstrations, we were awarded an initial $12.6 million prime contract from the DIUx for sensor integration and flight demonstration of our UTAP-22 Mako unmanned aerial system the following year. Under this effort, we integrated certain sensors into our UTAP-22 Mako and participated in a large, complex flight exercise in 2017. As a result of our development and demonstration of the Mako, we have been awarded several tactical and developmental awards, including an initial $17.6 million contract award in October 2019 for jet drone research, development and initial production efforts, with the scope of work and related funds under this program expected to increase as execution and performance milestones are successfully achieved.</w:t>
      </w:r>
    </w:p>
    <w:p>
      <w:pPr>
        <w:spacing w:after="0" w:line="128" w:lineRule="exact"/>
        <w:rPr>
          <w:rFonts w:ascii="Arial" w:cs="Arial" w:eastAsia="Arial" w:hAnsi="Arial"/>
          <w:sz w:val="18"/>
          <w:szCs w:val="18"/>
          <w:color w:val="auto"/>
        </w:rPr>
      </w:pPr>
    </w:p>
    <w:p>
      <w:pPr>
        <w:ind w:left="980" w:right="80" w:hanging="324"/>
        <w:spacing w:after="0" w:line="254"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received a $40.8 million single award, cost-share contract from the AFRL for the LCASD. Under the LCASD contract award, we are designing, developing, and will deliver, demonstrate and test a technical baseline for a high-speed long-range, low-cost limited life-strike UAS. For our investment, we will retain hard (including two LCASD aircraft) and other assets, and important intellectual property, software, data, platform and system rights, which we believe will be critically important and valuable over the expected long-term life of this platform, including with respect to future production opportunities. During 2019, the Company announced that the Kratos/AFRL team successfully completed three flights for the Valkyrie, or the XQ-58A. In January 2020, the Company completed its fourth demonstration flight, including the successful deployment of its parachutes, and landed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0" w:name="page11"/>
    <w:bookmarkEnd w:id="10"/>
    <w:p>
      <w:pPr>
        <w:ind w:left="980"/>
        <w:spacing w:after="0"/>
        <w:rPr>
          <w:sz w:val="20"/>
          <w:szCs w:val="20"/>
          <w:color w:val="auto"/>
        </w:rPr>
      </w:pPr>
      <w:r>
        <w:rPr>
          <w:rFonts w:ascii="Arial" w:cs="Arial" w:eastAsia="Arial" w:hAnsi="Arial"/>
          <w:sz w:val="18"/>
          <w:szCs w:val="18"/>
          <w:color w:val="auto"/>
        </w:rPr>
        <w:t>normally, validating the design changes incorporated for the test flight airbag system following the third flight in 2019.</w:t>
      </w:r>
    </w:p>
    <w:p>
      <w:pPr>
        <w:spacing w:after="0" w:line="158" w:lineRule="exact"/>
        <w:rPr>
          <w:sz w:val="20"/>
          <w:szCs w:val="20"/>
          <w:color w:val="auto"/>
        </w:rPr>
      </w:pPr>
    </w:p>
    <w:p>
      <w:pPr>
        <w:ind w:left="980" w:hanging="324"/>
        <w:spacing w:after="0" w:line="291" w:lineRule="auto"/>
        <w:tabs>
          <w:tab w:leader="none" w:pos="97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July 2020, the Company was awarded a five-year IDIQ contract valued at up to $400 million for the development, integration, and prototype air vehicle delivery in support of the Air Force’s Skyborg program. In December 2020, Kratos was awarded a $37.7 million contract from the AFLCMC/WA Advanced Aircraft Program Executive Office for the Skyborg Delivery Order 2 to integrate, test and deliver XQ-58A Valkyrie aircraft. The contract includes three phases of design, integration, and flight testing of the XQ-58A Valkyrie system, integrating multiple customer-defined mission payloads and customer-defined autonomy in coordination/cooperation with the Skyborg System Design Agent, Leidos. Kratos currently works in partnership with Leidos’ Dynetics on the Gremlins Program. In addition, in December we received a $17.8 million award from the AFRL for work in support of the government’s LCAAT efforts, including as related to the XQ-58A Valkyrie.</w:t>
      </w:r>
    </w:p>
    <w:p>
      <w:pPr>
        <w:spacing w:after="0" w:line="85" w:lineRule="exact"/>
        <w:rPr>
          <w:rFonts w:ascii="Arial" w:cs="Arial" w:eastAsia="Arial" w:hAnsi="Arial"/>
          <w:sz w:val="16"/>
          <w:szCs w:val="16"/>
          <w:color w:val="auto"/>
        </w:rPr>
      </w:pPr>
    </w:p>
    <w:p>
      <w:pPr>
        <w:ind w:left="980" w:right="160" w:hanging="324"/>
        <w:spacing w:after="0" w:line="263"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December 2020, the Kratos Valkyrie UAS AttritableONE completed a successful demonstration flight enabling the F-22 and F-35 5th generation fighters to fly in formation together in a test led by an integrated ABMS acquisition team comprised of AFRL and Air Force Life Cycle Management Center personnel, in conjunction with Eglin Air Force Base’s 46th Test Squadron.</w:t>
      </w:r>
    </w:p>
    <w:p>
      <w:pPr>
        <w:spacing w:after="0" w:line="116" w:lineRule="exact"/>
        <w:rPr>
          <w:rFonts w:ascii="Arial" w:cs="Arial" w:eastAsia="Arial" w:hAnsi="Arial"/>
          <w:sz w:val="18"/>
          <w:szCs w:val="18"/>
          <w:color w:val="auto"/>
        </w:rPr>
      </w:pPr>
    </w:p>
    <w:p>
      <w:pPr>
        <w:ind w:left="980" w:right="40" w:hanging="324"/>
        <w:spacing w:after="0" w:line="245"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were awarded one of four prime contract awards from DARPA for the Gremlins program. Under the Gremlins program, DARPA envisions a swarm of approximately 20 high performance unmanned aerial vehicles that are deployed by an inflight aircraft, and are later recovered, inflight, by an aircraft. The approximate $3.9 million Phase I contracts were awarded to four competing companies, with the intent to ultimately down select to one finalist company over a period of approximately 36 months. In 2017, we successfully advanced to Phase II of the Gremlin’s program, with Kratos providing the Gremlin air vehicle drone system. A second successful flight test was completed in July 2020, satisfying major technical and program milestones while significantly reducing risk. The third flight demonstration was successfully performed in November 2020, which was originally scheduled for earlier in 2020 and was delayed due to COVID-19 related and range restrictions.</w:t>
      </w:r>
    </w:p>
    <w:p>
      <w:pPr>
        <w:spacing w:after="0" w:line="21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i w:val="1"/>
          <w:iCs w:val="1"/>
          <w:color w:val="auto"/>
        </w:rPr>
        <w:t xml:space="preserve">Capitalize on corporate infrastructure investments. </w:t>
      </w:r>
      <w:r>
        <w:rPr>
          <w:rFonts w:ascii="Arial" w:cs="Arial" w:eastAsia="Arial" w:hAnsi="Arial"/>
          <w:sz w:val="17"/>
          <w:szCs w:val="17"/>
          <w:color w:val="auto"/>
        </w:rPr>
        <w:t>In recent periods, we have made significant investments in our senior management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infrastructure related to cybersecurity threats to our Company, increased and changing regulations we are subject to, and the changing national security industry environment. These investments also included hiring senior executives with significant experience in the national security industry, hiring firms to support us on Capitol Hill, Congressionally and with our customers, strengthening our internal controls over financial reporting and accounting staff in support of increasing public company reporting requirements, expanding our infrastructure in response to increases in cybersecurity protection and related regulatory requirements, and expanding our backlog and bid and proposal pipeline. We expect to be allocating additional resources in our pursuit of new, larger and highly technical prime contract opportunities. We believe our management experience and corporate infrastructure can support a company with a much larger revenue base than ours. Accordingly, we believe that, to the extent our revenue grows, we will be able to leverage this infrastructure base and increase our operating margins.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48"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color w:val="auto"/>
        </w:rPr>
        <w:t>A representative list of government customers in our KGS and US segments during 2020 included the U.S. Air Force, U.S. Army, U.S. Navy, U.S. Marines, Missile Defense Agency, Space Command, the National Aeronautics and Space Administration, foreign military sales (“FMS”), the U.S. Southern Command, STRATCOM, the Strategic Capabilities Office (SCO), DIU or DIUx, the Rapid Capabilities Offices, the U.S. intelligence community and certain confidential customers. A representative list of non-government customers during 2020 included tier one, large U.S. Government contractors and system integrators such as Northrop Grumman, Lockheed Martin, General Dynamics, Raytheon Technologies, BAE Systems, L3Harris, General Atomics and Boeing, as well as Microsoft, Amazon, Siemens, and Rolls Royce.</w:t>
      </w:r>
    </w:p>
    <w:p>
      <w:pPr>
        <w:spacing w:after="0" w:line="202" w:lineRule="exact"/>
        <w:rPr>
          <w:sz w:val="20"/>
          <w:szCs w:val="20"/>
          <w:color w:val="auto"/>
        </w:rPr>
      </w:pPr>
    </w:p>
    <w:p>
      <w:pPr>
        <w:ind w:right="60" w:firstLine="648"/>
        <w:spacing w:after="0" w:line="248" w:lineRule="auto"/>
        <w:rPr>
          <w:sz w:val="20"/>
          <w:szCs w:val="20"/>
          <w:color w:val="auto"/>
        </w:rPr>
      </w:pPr>
      <w:r>
        <w:rPr>
          <w:rFonts w:ascii="Arial" w:cs="Arial" w:eastAsia="Arial" w:hAnsi="Arial"/>
          <w:sz w:val="18"/>
          <w:szCs w:val="18"/>
          <w:color w:val="auto"/>
        </w:rPr>
        <w:t>Revenue from the U.S. Government (which includes FMS) includes revenue from contracts for which we are the prime contractor as well as those for which we are a subcontractor and the ultimate customer is the U.S. Government. Revenues from U.S. Government agency customers in aggregate accounted for approximately 73%, 71% and 72% of total revenues in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Effective January 1, 2018, we adopted the requirements of Accounting Standards Codification 606, Revenue from Contracts with Customers (“ASC 606”), utilizing the modified retrospective method as discussed in Note 1 of the Notes to Consolidated Financial Statements contained within this Annual Report. Since our adoption of ASC 606, revenues from remaining performance obligations, also referred to as total backlog, are now calculated as the dollar value of our remaining performance obligations on executed contracts. As of December 27, 2020 and December 29, 2019, our backlog was approximately $922.2 million and $601.2 million, respectively, of which $643.3 million was funded in 2020 and $501.3 million was funded in 2019. We expect to recognize approximately 51.0% of the remaining total backlog as revenue in 2021, an additional 18.0% in 2022 and the balance thereafter.</w:t>
      </w:r>
    </w:p>
    <w:p>
      <w:pPr>
        <w:spacing w:after="0" w:line="19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based on the most likely amount the Company is expected to be entitled to receive,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contract. For IDIQ contracts, only awarded or funded task orders are included for backlog purposes.</w:t>
      </w:r>
    </w:p>
    <w:p>
      <w:pPr>
        <w:spacing w:after="0" w:line="19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the Company’s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9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215"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A significant number of the programs that Kratos’ systems, products and solutions support are multi-year/multi-decade in nature. Accordingly, based on historical customer usage or operational tempo, the Company has reasonable expectations or visibility of what ultimate orders for Kratos’ systems, products and solutions will be. The Company does not include these expected amounts in its backlog until a related contract award is received.</w:t>
      </w:r>
    </w:p>
    <w:p>
      <w:pPr>
        <w:spacing w:after="0" w:line="176"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27, 2020, we had a work force of approximately 3,200 full-time, part-time and on-call employees in approximately 13 countries.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Our employees are our greatest asset, and the ability to recruit, retain, fairly compensate, and develop our workforce is critical to Kratos’ success.</w:t>
      </w:r>
    </w:p>
    <w:p>
      <w:pPr>
        <w:spacing w:after="0" w:line="24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work diligently to attract the best talent from a diverse range of sources in order to meet the current and future demands of our business. We have established relationships with local job networks and educational institutions to proactively attract a diverse pool of talent. We also strive to provide a compensation and benefits package that will attract, retain, and motivate employees and reward their performance, including competitive market-based pay and comprehensive benefits. In addition to earning a base salary, eligible employees are compensated for their contributions to the Company’s goals with both</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ind w:right="100"/>
        <w:spacing w:after="0" w:line="301" w:lineRule="auto"/>
        <w:rPr>
          <w:sz w:val="20"/>
          <w:szCs w:val="20"/>
          <w:color w:val="auto"/>
        </w:rPr>
      </w:pPr>
      <w:r>
        <w:rPr>
          <w:rFonts w:ascii="Arial" w:cs="Arial" w:eastAsia="Arial" w:hAnsi="Arial"/>
          <w:sz w:val="16"/>
          <w:szCs w:val="16"/>
          <w:color w:val="auto"/>
        </w:rPr>
        <w:t>short-term cash incentives and long-term equity-based incentives. We are committed to providing fair and equitable pay for employees, utilizing both external and internal benchmarking tools to do so. Eligible employees in the U.S. also have access to a wide range of benefits including medical, dental, and vision plans; life insurance, disability insurance and identity theft insurance; savings and retirement plans; an employee stock purchase plan; and other resources. Programs and benefits differ internationally for a variety of reasons, such as local legal requirements and market practices.</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also committed to employee development. The Company maintains talent and succession planning processes, including annual reviews and regular touchpoint reviews throughout the year, and periodic succession review of executive management by the Company’s chief executive officer and board of directors. We also provide training opportunities for employees at all levels, including live and online training, on the job training, and tuition reimbursement for formal continuing education. Our training program also includes compliance training to regularly promote and reinforce the Company’s culture of ethics and integrity in business.</w:t>
      </w:r>
    </w:p>
    <w:p>
      <w:pPr>
        <w:spacing w:after="0" w:line="21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Guided by our values, we are committed to creating a company where everyone is included and respected, and where we support each other in reaching our full potential. We are committed to diverse representation across all levels of our workforce to reflect the vibrant and thriving diversity of the communities in which we live and work.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market is competitive and includes a number of companies in the U.S. defense and national security industries. Most of the companies that we compete against have significantly greater financial, technical, marketing and other resources and generate greater revenues than we do. Competition in the KGS and US segments include tier one, large U.S. Government contractors and system integrators such as Northrop Grumman, Lockheed Martin, General Dynamics, Raytheon Technologies, BAE Systems, L3Harris, General Atomics and Boeing. While we view other government contractors as competitors, we also team with these same companies in joint proposals or in the delivery of our products, solutions and services for customers. Tier two competitors include smaller government contractors such as Mercury Systems, Qinetiq, Cobham, Aerojet Rocketdyne and AAR Corp. Intense competition and long operating cycles are key characteristics of our business within the defense industry. It is also common in the defense industry for work on major programs to be shared among a number of companies. A company competing to be a prime contractor or subcontractor on an award may, upon final award of the contract to another competitor, become a subcontractor for the final prime contractor. It is not unusual to compete for a contract award with a peer company and simultaneously perform as a supplier to or be a customer of that same competitor on other contracts, or vice versa. The nature of major defense programs, conducted under binding contracts, allows companies that perform well to benefit from a level of program continuity not frequently found in other industries.</w:t>
      </w:r>
    </w:p>
    <w:p>
      <w:pPr>
        <w:spacing w:after="0" w:line="1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believe that the principal competitive factors in our ability to win new business include our strategy of focusing on priority DoD requirements and funding areas, our intellectual property, proprietary products, technology and our ability to rapidly develop, demonstrate and deliver systems to the warfighter at an affordable cost. Also important is our past performance qualifications, customer relationships, domain and technology expertise, the ability to obtain and replace contract vehicles, the ability to deliver results within budget (time and cost), reputation, accountability, staffing flexibility, and project management expertise. Additionally, our ability to deliver cost effective systems, products, solutions and services that meet our customers’ requirements is also a key differentiator.</w:t>
      </w:r>
    </w:p>
    <w:p>
      <w:pPr>
        <w:spacing w:after="0" w:line="125" w:lineRule="exact"/>
        <w:rPr>
          <w:sz w:val="20"/>
          <w:szCs w:val="20"/>
          <w:color w:val="auto"/>
        </w:rPr>
      </w:pPr>
    </w:p>
    <w:p>
      <w:pPr>
        <w:jc w:val="both"/>
        <w:ind w:right="260" w:firstLine="648"/>
        <w:spacing w:after="0" w:line="296" w:lineRule="auto"/>
        <w:rPr>
          <w:sz w:val="20"/>
          <w:szCs w:val="20"/>
          <w:color w:val="auto"/>
        </w:rPr>
      </w:pPr>
      <w:r>
        <w:rPr>
          <w:rFonts w:ascii="Arial" w:cs="Arial" w:eastAsia="Arial" w:hAnsi="Arial"/>
          <w:sz w:val="16"/>
          <w:szCs w:val="16"/>
          <w:color w:val="auto"/>
        </w:rPr>
        <w:t>In the U.S. defense, IT, and services markets, the U.S. Government has stressed competition and affordability or low cost in connection with its future procurement of products and services. This has led to fewer sole source awards, as well as more emphasis on cost competitiveness, with contract awards issued on a Low Price Technically Acceptable (“LPTA”) basis rather than a best value basis, which has negatively impacted certain areas of our Defense and Rocket Support Services (“DRSS”) business in our KGS segment and in our training services business. In addition, competitor bid protests have become more prevalent in the current competitive environment, resulting in further delay of contract procurement activity.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62" w:lineRule="exact"/>
        <w:rPr>
          <w:sz w:val="20"/>
          <w:szCs w:val="20"/>
          <w:color w:val="auto"/>
        </w:rPr>
      </w:pPr>
    </w:p>
    <w:p>
      <w:pPr>
        <w:ind w:right="20" w:firstLine="177"/>
        <w:spacing w:after="0" w:line="255" w:lineRule="auto"/>
        <w:rPr>
          <w:sz w:val="20"/>
          <w:szCs w:val="20"/>
          <w:color w:val="auto"/>
        </w:rPr>
      </w:pPr>
      <w:r>
        <w:rPr>
          <w:rFonts w:ascii="Arial" w:cs="Arial" w:eastAsia="Arial" w:hAnsi="Arial"/>
          <w:sz w:val="18"/>
          <w:szCs w:val="18"/>
          <w:color w:val="auto"/>
        </w:rPr>
        <w:t>We believe that our future success depends upon our ability to continue to rapidly develop new products and services, and enhancements to and applications for our existing products and services, to be delivered at an affordable cost. Our research and development expenses were $27.0 million, $18.0 million and $15.6 million in 2020, 2019, and 2018, respectively. We intend to continue our focus on research and development as a key strategy for growth, which will focus on investments in those fields that we believe will offer the greatest opportunity for growth and profitability. Our current primary internal research and development (“IR&amp;D”) focus areas include satellite communications and signal monitoring, unmanned systems, electronic products, and turbine technologies.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Intellectual Property</w:t>
      </w:r>
    </w:p>
    <w:p>
      <w:pPr>
        <w:spacing w:after="0" w:line="16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believe that our continued success depends in large part on our proprietary technology, the intellectual skills of our employees and the ability of our employees to continue to innovate. We rely on a combination of patent, copyright, trademark and trade secret laws, as well as confidentiality agreements, to establish and protect our proprietary rights.</w:t>
      </w:r>
    </w:p>
    <w:p>
      <w:pPr>
        <w:spacing w:after="0" w:line="10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of December 27, 2020, we held a number of U.S. and foreign patents. Patents applicable to specific products extend for varying periods according to the date of patent application filing or patent grant and the legal term of patents in the various countries where patent protection is obtained. We do not consider our business to be materially dependent upon any individual patent, and we do not believe that our business would be materially affected by the expiration of any particular intellectual property right. We will continue to file and pursue patent applications when and where appropriate to attempt to protect our rights in our proprietary technologies. We also encourage our employees to continue to invent and develop new technologies so as to maintain our competitiveness in the marketplace.</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own or have rights to use certain trademarks, service marks and trade names that we use in conjunction with the operation of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trademarks have also been registered in selected foreign countries.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62"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We are subject to various government regulations, including various U.S. Government regulations as a contractor and subcontractor to the agencies of the U.S. Government. Among the most significant U.S. Government regulations affecting our business are:</w:t>
      </w:r>
    </w:p>
    <w:p>
      <w:pPr>
        <w:spacing w:after="0" w:line="65" w:lineRule="exact"/>
        <w:rPr>
          <w:sz w:val="20"/>
          <w:szCs w:val="20"/>
          <w:color w:val="auto"/>
        </w:rPr>
      </w:pPr>
    </w:p>
    <w:p>
      <w:pPr>
        <w:ind w:left="1300" w:hanging="320"/>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Federal Acquisition Regulations and supplemental agency regulations, which comprehensively regulate the formation, administration, and performance under government contracts;</w:t>
      </w:r>
    </w:p>
    <w:p>
      <w:pPr>
        <w:spacing w:after="0" w:line="102" w:lineRule="exact"/>
        <w:rPr>
          <w:rFonts w:ascii="Arial" w:cs="Arial" w:eastAsia="Arial" w:hAnsi="Arial"/>
          <w:sz w:val="18"/>
          <w:szCs w:val="18"/>
          <w:color w:val="auto"/>
        </w:rPr>
      </w:pPr>
    </w:p>
    <w:p>
      <w:pPr>
        <w:ind w:left="1300" w:right="140" w:hanging="320"/>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Truthful Cost or Pricing Data Statute (formerly the Truth in Negotiations Act), which requires certification and disclosure of all cost and pricing data in connection with contract negotiations;</w:t>
      </w:r>
    </w:p>
    <w:p>
      <w:pPr>
        <w:spacing w:after="0" w:line="102" w:lineRule="exact"/>
        <w:rPr>
          <w:rFonts w:ascii="Arial" w:cs="Arial" w:eastAsia="Arial" w:hAnsi="Arial"/>
          <w:sz w:val="18"/>
          <w:szCs w:val="18"/>
          <w:color w:val="auto"/>
        </w:rPr>
      </w:pPr>
    </w:p>
    <w:p>
      <w:pPr>
        <w:ind w:left="1300" w:right="680" w:hanging="320"/>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Accounting Standards, which impose accounting requirements that govern our right to reimbursement under cost-based government contracts;</w:t>
      </w:r>
    </w:p>
    <w:p>
      <w:pPr>
        <w:spacing w:after="0" w:line="89" w:lineRule="exact"/>
        <w:rPr>
          <w:rFonts w:ascii="Arial" w:cs="Arial" w:eastAsia="Arial" w:hAnsi="Arial"/>
          <w:sz w:val="18"/>
          <w:szCs w:val="18"/>
          <w:color w:val="auto"/>
        </w:rPr>
      </w:pPr>
    </w:p>
    <w:p>
      <w:pPr>
        <w:ind w:left="1300" w:right="140" w:hanging="320"/>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Foreign Corrupt Practices Act, which prohibits U.S. companies from providing anything of value to a foreign official to help obtain, retain or direct business, or obtain any unfair advantages;</w:t>
      </w:r>
    </w:p>
    <w:p>
      <w:pPr>
        <w:spacing w:after="0" w:line="102" w:lineRule="exact"/>
        <w:rPr>
          <w:rFonts w:ascii="Arial" w:cs="Arial" w:eastAsia="Arial" w:hAnsi="Arial"/>
          <w:sz w:val="18"/>
          <w:szCs w:val="18"/>
          <w:color w:val="auto"/>
        </w:rPr>
      </w:pPr>
    </w:p>
    <w:p>
      <w:pPr>
        <w:ind w:left="1300" w:right="220" w:hanging="320"/>
        <w:spacing w:after="0" w:line="342" w:lineRule="auto"/>
        <w:tabs>
          <w:tab w:leader="none" w:pos="129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False Claims Act and the False Statements Act, which, respectively, impose penalties for payments made on the basis of false facts provided to the government and impose penalties on the basis of false statements, even if they do not result in a payment; and</w:t>
      </w:r>
    </w:p>
    <w:p>
      <w:pPr>
        <w:spacing w:after="0" w:line="56" w:lineRule="exact"/>
        <w:rPr>
          <w:rFonts w:ascii="Arial" w:cs="Arial" w:eastAsia="Arial" w:hAnsi="Arial"/>
          <w:sz w:val="16"/>
          <w:szCs w:val="16"/>
          <w:color w:val="auto"/>
        </w:rPr>
      </w:pPr>
    </w:p>
    <w:p>
      <w:pPr>
        <w:ind w:left="1300" w:right="200" w:hanging="320"/>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laws, regulations and executive orders restricting the use and dissemination of information classified for national security purposes and the exportation of certain products and technical data.</w:t>
      </w:r>
    </w:p>
    <w:p>
      <w:pPr>
        <w:spacing w:after="0" w:line="89"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We also need special security clearances to continue working on and advancing certain of our programs and contracts with the U.S. Government. Classified programs generally will require that we comply with various Executive Orders, federal laws and regulations and customer security requirements that may include restrictions on how we develop, store, protect and share information, and may require our employees to obtain government clearances.</w:t>
      </w:r>
    </w:p>
    <w:p>
      <w:pPr>
        <w:spacing w:after="0" w:line="81"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The nature of the work we do for the federal government may also limit the parties who may invest in or acquire us. Export laws may keep us from providing potential foreign acquirers with a review of the technical data they would be acquiring. In addition, there are special requirements for foreign parties who wish to buy or acquire control or influence over companies that control technology or produce goods in the security interests of the U.S. There may need to be a review under the Exon-Florio provisions of the Defense Production Act. Finally, the government may require a prospective foreign owner to establish intermediaries to actually run that part of the company that does classified work, and establishing a subsidiary and its separate operation may make such an acquisition less appealing to such potential acquirers.</w:t>
      </w:r>
    </w:p>
    <w:p>
      <w:pPr>
        <w:spacing w:after="0" w:line="110"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In addition, the export from the U.S. of certain of our products may require the issuance of a license by the U.S. Department of Commerce under the Export Administration Act, as amended, and its implementing regulations as kept in force by the International Emergency Economic Powers Act of 1977, as amended. Some of our products may require the issuance of a license by the U.S. Department of State under the Arms Export Control Act and its implementing regulations, which licenses are generally harder to obtain and take longer to obtain than do Export Administration Act licenses.</w:t>
      </w:r>
    </w:p>
    <w:p>
      <w:pPr>
        <w:spacing w:after="0" w:line="7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Our business may require compliance with state or local laws designed to limit the uses of personal user information gathered online or require online services to establish privacy policies.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Material Availability</w:t>
      </w:r>
    </w:p>
    <w:p>
      <w:pPr>
        <w:spacing w:after="0" w:line="16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procure critical material, components, products and subsystems from both domestic and global supply partners. These supply sources may be single sources for certain components and the material provided may have extended lead times. To support our continuing customer needs, we have taken steps to mitigate sourcing risks. This includes working closely with our suppliers to ensure future material and subsystem availability to support our manufacturing plans. In some cases, we have elected to stock reserve material to ensure future availability.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148"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color w:val="auto"/>
        </w:rPr>
        <w:t>Our manufacturing operations are subject to many requirements under environmental laws and regulations. In the U.S., the U.S. Environmental Protection Agency and similar state agencies administer laws that restrict the emission of pollutants into the air, discharges of pollutants into bodies of water and disposal of pollutants in the ground. Violations of these laws can result in significant civil and criminal penalties and incarceration. The failure to obtain a permit for certain activities may be a violation of environmental law and subject the owner and operator to civil and criminal sanctions. Most environmental agencies also have the power to shut down an operation if it is operating in violation of environmental law. U.S. laws also allow citizens to bring private enforcement actions in some situations. Outside the U.S., the environmental laws and their enforcement vary and may be more burdensome.</w:t>
      </w:r>
    </w:p>
    <w:p>
      <w:pPr>
        <w:spacing w:after="0" w:line="18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Other environmental laws, primarily in the U.S., address the contamination of land and groundwater and require the clean-up of such contamination. These laws may apply not only to the owner or operator of an on-going business, but also to the owner of land contaminated by a prior owner or operator. In addition, if a parcel is contaminated by the release of a hazardous substance, such as through its historic use as a disposal site, any person or company that has contributed to that contamination, whether or not it has a legal interest in the land, may be subject to a requirement to clean up the parcel.</w:t>
      </w:r>
    </w:p>
    <w:p>
      <w:pPr>
        <w:spacing w:after="0" w:line="12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have management programs and processes in place that are intended to achieve compliance with, and minimize the potential for violations of, applicable environmental laws and regulations.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4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We file reports with the Securities and Exchange Commission (“SEC”). We make available on our website under “Investor Relations/Financial Information/SEC Filings,” free of charge, our annual reports on Form 10-K, quarterly reports on Form 10-Q, current reports on Form 8-K and amendments to those reports as soon as reasonably practicable after we electronically file such materials with or furnish them to the SEC. Our website address is </w:t>
      </w:r>
      <w:r>
        <w:rPr>
          <w:rFonts w:ascii="Arial" w:cs="Arial" w:eastAsia="Arial" w:hAnsi="Arial"/>
          <w:sz w:val="18"/>
          <w:szCs w:val="18"/>
          <w:i w:val="1"/>
          <w:iCs w:val="1"/>
          <w:color w:val="auto"/>
        </w:rPr>
        <w:t>www.kratosdefense.com</w:t>
      </w:r>
      <w:r>
        <w:rPr>
          <w:rFonts w:ascii="Arial" w:cs="Arial" w:eastAsia="Arial" w:hAnsi="Arial"/>
          <w:sz w:val="18"/>
          <w:szCs w:val="18"/>
          <w:color w:val="auto"/>
        </w:rPr>
        <w:t>. The SEC also maintains an Internet site that contains our reports, proxy and information statements, and other information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www.sec.gov.</w:t>
      </w:r>
    </w:p>
    <w:p>
      <w:pPr>
        <w:spacing w:after="0" w:line="120"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References to our website and the SEC’s website in this report are provided as a convenience and do not constitute, and should not be viewed as, incorporation by reference of the information contained on, or available through, such websites. Such information should not be considered a part of this report, unless otherwise expressly incorporated by reference in this report.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i w:val="1"/>
          <w:iCs w:val="1"/>
          <w:color w:val="auto"/>
        </w:rPr>
        <w:t>You should carefully consider the following risk factors and all other information contained herein as well as the information included in this Annual Report and other reports and filings made with the SEC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Annual Report, including our Consolidated Financial Statements and the related Notes.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63" w:lineRule="exact"/>
        <w:rPr>
          <w:sz w:val="20"/>
          <w:szCs w:val="20"/>
          <w:color w:val="auto"/>
        </w:rPr>
      </w:pPr>
    </w:p>
    <w:p>
      <w:pPr>
        <w:ind w:left="660" w:right="60" w:hanging="328"/>
        <w:spacing w:after="0" w:line="25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U.S. Government provides a significant portion of our revenue, and our business could be adversely affected by changes in the fiscal policies of the U.S. Government and governmental entities.</w:t>
      </w:r>
    </w:p>
    <w:p>
      <w:pPr>
        <w:spacing w:after="0" w:line="1" w:lineRule="exact"/>
        <w:rPr>
          <w:rFonts w:ascii="Arial" w:cs="Arial" w:eastAsia="Arial" w:hAnsi="Arial"/>
          <w:sz w:val="18"/>
          <w:szCs w:val="18"/>
          <w:color w:val="auto"/>
        </w:rPr>
      </w:pPr>
    </w:p>
    <w:p>
      <w:pPr>
        <w:ind w:left="660" w:right="540" w:hanging="328"/>
        <w:spacing w:after="0" w:line="281"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Significant delays or reductions in appropriations for our programs and U.S. Government funding more broadly may negatively impact our business and programs and could have a material adverse effect on our financial position, results of operations and/or cash flows.</w:t>
      </w:r>
    </w:p>
    <w:p>
      <w:pPr>
        <w:spacing w:after="0" w:line="1" w:lineRule="exact"/>
        <w:rPr>
          <w:rFonts w:ascii="Arial" w:cs="Arial" w:eastAsia="Arial" w:hAnsi="Arial"/>
          <w:sz w:val="16"/>
          <w:szCs w:val="16"/>
          <w:color w:val="auto"/>
        </w:rPr>
      </w:pPr>
    </w:p>
    <w:p>
      <w:pPr>
        <w:ind w:left="660" w:right="18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fail to establish and maintain important relationships with government agencies and prime contractors, our ability to successfully maintain and develop new business may be adversely affected.</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of one or more of our largest customers, programs, or applications could adversely affect our results of operations.</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Many of our contracts contain performance obligations that require innovative design capabilities, are technologically complex, require state-of-the-art manufacturing expertise, or are dependent upon factors not wholly within our control. Failure to meet these obligations could adversely affect our profitability and future prospects. Early termination of client contracts or contract penalties could adversely affect our results of operations.</w:t>
      </w:r>
    </w:p>
    <w:p>
      <w:pPr>
        <w:spacing w:after="0" w:line="1"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our subcontractors or suppliers fail to perform their contractual obligations, our performance and reputation as a contractor and our ability to obtain future business could suffer.</w:t>
      </w:r>
    </w:p>
    <w:p>
      <w:pPr>
        <w:ind w:left="660" w:right="52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face intense competition from many competitors that have greater resources than we do, which could result in price reductions, reduced profitability or loss of market share.</w:t>
      </w:r>
    </w:p>
    <w:p>
      <w:pPr>
        <w:ind w:left="66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UAS and UGS markets do not experience significant growth, if we cannot expand our customer base or if our products do not achieve broad acceptance, then we may not be able to achieve our anticipated level of growth.</w:t>
      </w:r>
    </w:p>
    <w:p>
      <w:pPr>
        <w:ind w:left="660" w:right="14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our General Services Administration (“GSA”) contracts or government-wide acquisition contracts could impair our ability to attract new business.</w:t>
      </w:r>
    </w:p>
    <w:p>
      <w:pPr>
        <w:ind w:left="660" w:right="26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contracts differ materially from standard commercial contracts, involve competitive bidding and may be subject to cancellation or delay without penalty.</w:t>
      </w:r>
    </w:p>
    <w:p>
      <w:pPr>
        <w:ind w:left="660" w:right="30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receive the full amounts estimated under the contracts in our backlog, which could reduce our revenue in future periods below the levels anticipated.</w:t>
      </w:r>
    </w:p>
    <w:p>
      <w:pPr>
        <w:ind w:left="660" w:right="56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preference for minority-owned, small and small disadvantaged businesses could impact our ability to be a prime contractor and limit our opportunity to work as a subcontractor on certain governmental procurements.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Government in-sourcing could result in loss of business opportunities and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could be negatively impacted by cyber and other security threats or disruptions.</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products are complex and could have unknown defects or errors, which may increase our costs, harm our reputation with customers, give rise to costly litigation, or divert our resources from other purposes.</w:t>
      </w:r>
    </w:p>
    <w:p>
      <w:pPr>
        <w:ind w:left="660" w:right="26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Due to the volatile and flammable nature of certain components of our products and equipment, fires or explosions may disrupt our business or cause significant injuries, which could adversely affect our financial results.</w:t>
      </w:r>
    </w:p>
    <w:p>
      <w:pPr>
        <w:ind w:left="660" w:right="20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margins and operating results may suffer if we experience unfavorable changes in the proportion of cost-plus-fee or fixed-price contracts in our total contract mix.</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incurred and may continue to incur goodwill impairment charges in our reporting entities, which could harm our profitability.</w:t>
      </w:r>
    </w:p>
    <w:p>
      <w:pPr>
        <w:spacing w:after="0" w:line="9" w:lineRule="exact"/>
        <w:rPr>
          <w:rFonts w:ascii="Arial" w:cs="Arial" w:eastAsia="Arial" w:hAnsi="Arial"/>
          <w:sz w:val="18"/>
          <w:szCs w:val="18"/>
          <w:color w:val="auto"/>
        </w:rPr>
      </w:pPr>
    </w:p>
    <w:p>
      <w:pPr>
        <w:ind w:left="660" w:right="140" w:hanging="328"/>
        <w:spacing w:after="0" w:line="26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utilize our net operating loss carryforwards and certain other tax attributes may be limited. We may be required to record valuation allowances on our net operating loss carryforwards in future periods, which could harm our profitability.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Operations</w:t>
      </w:r>
    </w:p>
    <w:p>
      <w:pPr>
        <w:spacing w:after="0" w:line="63" w:lineRule="exact"/>
        <w:rPr>
          <w:sz w:val="20"/>
          <w:szCs w:val="20"/>
          <w:color w:val="auto"/>
        </w:rPr>
      </w:pPr>
    </w:p>
    <w:p>
      <w:pPr>
        <w:ind w:left="660" w:right="200" w:hanging="328"/>
        <w:spacing w:after="0" w:line="25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operations expose us to risks associated with pandemics, epidemics or other public health emergencies, such as the outbreak of coronavirus disease 2019 (COVID-19) in many countries across the globe, including the United States.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need additional capital to fund the growth of our business, and financing may not be available on favorable terms or at all.</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6" w:name="page17"/>
    <w:bookmarkEnd w:id="16"/>
    <w:p>
      <w:pPr>
        <w:ind w:left="660" w:right="200" w:hanging="328"/>
        <w:spacing w:after="0" w:line="25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cash may be subject to a risk of loss and we may be exposed to fluctuations in the market values of our portfolio investments and in interest rates.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Past acquisitions and future acquisitions could prove difficult to integrate, disrupt our business, dilute stockholder value and strain our resources.</w:t>
      </w:r>
    </w:p>
    <w:p>
      <w:pPr>
        <w:spacing w:after="0" w:line="32" w:lineRule="exact"/>
        <w:rPr>
          <w:rFonts w:ascii="Arial" w:cs="Arial" w:eastAsia="Arial" w:hAnsi="Arial"/>
          <w:sz w:val="16"/>
          <w:szCs w:val="16"/>
          <w:color w:val="auto"/>
        </w:rPr>
      </w:pPr>
    </w:p>
    <w:p>
      <w:pPr>
        <w:ind w:left="660" w:right="1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loss of any member of our senior management could impair our relationships with U.S. Government customers and disrupt the management of our business.</w:t>
      </w:r>
    </w:p>
    <w:p>
      <w:pPr>
        <w:ind w:left="660" w:right="30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attract and retain skilled employees or employees with the necessary national security clearances, we might not be able to perform under our contracts or win new business.</w:t>
      </w:r>
    </w:p>
    <w:p>
      <w:pPr>
        <w:ind w:left="660" w:right="30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the requirements of the National Industrial Security Program Operating Manual for our facility security clearance, which is a prerequisite to our ability to perform on classified contracts for the U.S. Government.</w:t>
      </w:r>
    </w:p>
    <w:p>
      <w:pPr>
        <w:ind w:left="660" w:right="240" w:hanging="328"/>
        <w:spacing w:after="0" w:line="26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be subject to the new DoD Cybersecurity Maturity Model Certification (“CMMC”) requirement recently issued by the Pentagon which may limit our ability to bid and win projects. The cost for the new CMMC requirement may be significant.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International Operations</w:t>
      </w:r>
    </w:p>
    <w:p>
      <w:pPr>
        <w:spacing w:after="0" w:line="6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Revenues derived from our international business could be subject to global economic downturn and hardship.</w:t>
      </w:r>
    </w:p>
    <w:p>
      <w:pPr>
        <w:spacing w:after="0" w:line="23" w:lineRule="exact"/>
        <w:rPr>
          <w:rFonts w:ascii="Arial" w:cs="Arial" w:eastAsia="Arial" w:hAnsi="Arial"/>
          <w:sz w:val="18"/>
          <w:szCs w:val="18"/>
          <w:color w:val="auto"/>
        </w:rPr>
      </w:pPr>
    </w:p>
    <w:p>
      <w:pPr>
        <w:ind w:left="660" w:right="60" w:hanging="328"/>
        <w:spacing w:after="0" w:line="245"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international business exposes us to additional risks, including the possibility of war and terrorist events which could impact our international operations such as Microwave Electronics, which is headquartered in Israel.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Long-Term Borrowings</w:t>
      </w:r>
    </w:p>
    <w:p>
      <w:pPr>
        <w:spacing w:after="0" w:line="6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substantial long-term borrowings, which could adversely affect our cash flow, financial condition and business.</w:t>
      </w:r>
    </w:p>
    <w:p>
      <w:pPr>
        <w:spacing w:after="0" w:line="23" w:lineRule="exact"/>
        <w:rPr>
          <w:rFonts w:ascii="Arial" w:cs="Arial" w:eastAsia="Arial" w:hAnsi="Arial"/>
          <w:sz w:val="18"/>
          <w:szCs w:val="18"/>
          <w:color w:val="auto"/>
        </w:rPr>
      </w:pPr>
    </w:p>
    <w:p>
      <w:pPr>
        <w:ind w:left="660" w:right="4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and our subsidiaries may incur more debt, which may increase the risks associated with our leverage, including our ability to service our indebtedness.</w:t>
      </w:r>
    </w:p>
    <w:p>
      <w:pPr>
        <w:ind w:left="660" w:right="360" w:hanging="328"/>
        <w:spacing w:after="0" w:line="265"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portion of our business is conducted through foreign subsidiaries, and the failure to generate sufficient cash flow from these subsidiaries, or otherwise repatriate or receive cash from these subsidiaries, could result in our inability to repay our indebtedness.</w:t>
      </w:r>
    </w:p>
    <w:p>
      <w:pPr>
        <w:ind w:left="660" w:right="14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agreements governing our debt impose significant operating and financial restrictions on us and our subsidiaries that may prevent us and our subsidiaries from pursuing certain business opportunities and restrict our ability to operate our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Intellectual Property</w:t>
      </w:r>
    </w:p>
    <w:p>
      <w:pPr>
        <w:spacing w:after="0" w:line="6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protect our intellectual property rights.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Disclosure of trade secrets could cause harm to our business.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Regulatory, Environmental and Legal Issues</w:t>
      </w:r>
    </w:p>
    <w:p>
      <w:pPr>
        <w:spacing w:after="0" w:line="6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failure to comply with complex procurement laws and regulations could cause us to lose business and subject us to a variety of penalties.</w:t>
      </w:r>
    </w:p>
    <w:p>
      <w:pPr>
        <w:spacing w:after="0" w:line="46" w:lineRule="exact"/>
        <w:rPr>
          <w:rFonts w:ascii="Arial" w:cs="Arial" w:eastAsia="Arial" w:hAnsi="Arial"/>
          <w:sz w:val="16"/>
          <w:szCs w:val="16"/>
          <w:color w:val="auto"/>
        </w:rPr>
      </w:pPr>
    </w:p>
    <w:p>
      <w:pPr>
        <w:ind w:left="660" w:right="24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contracts and administrative processes and systems are subject to audits and cost adjustments by the U.S. Government, which could reduce our revenue, disrupt our business or otherwise adversely affect our results of operations.</w:t>
      </w:r>
    </w:p>
    <w:p>
      <w:pPr>
        <w:ind w:left="660" w:right="260" w:hanging="328"/>
        <w:spacing w:after="0" w:line="26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subject to environmental laws and potential exposure to environmental liabilities. This may affect our ability to develop, sell or rent our property or to borrow money where such property is required to be used as collateral.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63" w:lineRule="exact"/>
        <w:rPr>
          <w:sz w:val="20"/>
          <w:szCs w:val="20"/>
          <w:color w:val="auto"/>
        </w:rPr>
      </w:pPr>
    </w:p>
    <w:p>
      <w:pPr>
        <w:ind w:right="1480" w:firstLine="332"/>
        <w:spacing w:after="0" w:line="529" w:lineRule="auto"/>
        <w:tabs>
          <w:tab w:leader="none" w:pos="643"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Some of our contracts with the U.S. Government are classified, which may limit investor insight into portions of our business. For a more complete discussion of the material risks facing our business, see below.</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U.S. Government provides a significant portion of our revenue, and our business could be adversely affected by changes in the fiscal policies of the U.S. Government and governmental entities.</w:t>
      </w:r>
    </w:p>
    <w:p>
      <w:pPr>
        <w:spacing w:after="0" w:line="170" w:lineRule="exact"/>
        <w:rPr>
          <w:sz w:val="20"/>
          <w:szCs w:val="20"/>
          <w:color w:val="auto"/>
        </w:rPr>
      </w:pPr>
    </w:p>
    <w:p>
      <w:pPr>
        <w:ind w:right="40" w:firstLine="180"/>
        <w:spacing w:after="0" w:line="277" w:lineRule="auto"/>
        <w:rPr>
          <w:sz w:val="20"/>
          <w:szCs w:val="20"/>
          <w:color w:val="auto"/>
        </w:rPr>
      </w:pPr>
      <w:r>
        <w:rPr>
          <w:rFonts w:ascii="Arial" w:cs="Arial" w:eastAsia="Arial" w:hAnsi="Arial"/>
          <w:sz w:val="18"/>
          <w:szCs w:val="18"/>
          <w:color w:val="auto"/>
        </w:rPr>
        <w:t>In fiscal 2020, 2019 and 2018, we generated 73%, 71% and 72%, respectively, of our total revenues from contracts with the U.S. Government (including all branches of the U.S. military and FMS), either as a prime contractor or a</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7" w:name="page18"/>
    <w:bookmarkEnd w:id="17"/>
    <w:p>
      <w:pPr>
        <w:spacing w:after="0" w:line="269" w:lineRule="auto"/>
        <w:rPr>
          <w:sz w:val="20"/>
          <w:szCs w:val="20"/>
          <w:color w:val="auto"/>
        </w:rPr>
      </w:pPr>
      <w:r>
        <w:rPr>
          <w:rFonts w:ascii="Arial" w:cs="Arial" w:eastAsia="Arial" w:hAnsi="Arial"/>
          <w:sz w:val="17"/>
          <w:szCs w:val="17"/>
          <w:color w:val="auto"/>
        </w:rPr>
        <w:t>subcontractor. We expect to continue to derive most of our revenues from work performed under U.S. Government contracts. See the Industry Update section in Item 1 “Business” contained within this Annual Report for a discussion of the current budgetary and funding constraints on U.S. Government spending and legislation enacted to reduce the U.S. federal deficit. As a result, we have experienced and expect to continue to experience reduced or delayed awards on some of our programs, with a related negative impact to our revenues, earnings and cash flows. Competitor bid protests also have become more prevalent in the current competitive environment resulting from decreased government spending, which has led to further contract award delays. In addition, any future changes to the fiscal policies of the U.S. Government and foreign governmental entities may decrease overall government funding for defense and homeland security, result in delays in the procurement of our products and services due to lack of funding, cause the U.S. Government and government agencies to reduce their purchases under existing contracts, or cause them to exercise their rights to terminate contracts at-will or to abstain from exercising options to renew contracts, any of which would have an adverse effect on our business, financial condition, results of operations and/or cash flows.</w:t>
      </w:r>
    </w:p>
    <w:p>
      <w:pPr>
        <w:spacing w:after="0" w:line="18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Significant delays or reductions in appropriations for our programs and U.S. Government funding more broadly may negatively impact our business and programs and could have a material adverse effect on our financial position, results of operations and/or cash flows.</w:t>
      </w:r>
    </w:p>
    <w:p>
      <w:pPr>
        <w:spacing w:after="0" w:line="146" w:lineRule="exact"/>
        <w:rPr>
          <w:sz w:val="20"/>
          <w:szCs w:val="20"/>
          <w:color w:val="auto"/>
        </w:rPr>
      </w:pPr>
    </w:p>
    <w:p>
      <w:pPr>
        <w:ind w:right="40" w:firstLine="180"/>
        <w:spacing w:after="0" w:line="287" w:lineRule="auto"/>
        <w:rPr>
          <w:sz w:val="20"/>
          <w:szCs w:val="20"/>
          <w:color w:val="auto"/>
        </w:rPr>
      </w:pPr>
      <w:r>
        <w:rPr>
          <w:rFonts w:ascii="Arial" w:cs="Arial" w:eastAsia="Arial" w:hAnsi="Arial"/>
          <w:sz w:val="16"/>
          <w:szCs w:val="16"/>
          <w:color w:val="auto"/>
        </w:rPr>
        <w:t>U.S. Government programs are subject to annual congressional budget authorization and appropriation processes. For many programs, Congress appropriates funds on a fiscal year basis even though the program performance period may extend over several years. Consequently, programs are often partially funded initially and additional funds are committed only as Congress makes further appropriations. If we incur costs in excess of funds obligated on a contract, we may be at risk for reimbursement of those costs unless and until additional funds are obligated to the contract. We cannot predict the extent to which total funding and/or funding for individual programs will be included, increased or reduced as part of the annual budget process ultimately approved by Congress and the President or in separate supplemental appropriations or continuing resolutions, as applicable. Laws and plans adopted by the U.S. Government relating to, along with pressures on and uncertainty surrounding the federal budget, potential changes in priorities and defense spending levels, sequestration, the appropriations process, use of continuing resolutions (with restrictions, e.g., on new starts) and the permissible federal debt limit, could adversely affect the funding for individual programs and delay purchasing or payment decisions by our customers. In the event government funding for our significant programs becomes unavailable, or is reduced or delayed, or planned orders are reduced, our contract or subcontract under such programs may be terminated or adjusted by the U.S. Government or the prime contractor.</w:t>
      </w:r>
    </w:p>
    <w:p>
      <w:pPr>
        <w:spacing w:after="0" w:line="172" w:lineRule="exact"/>
        <w:rPr>
          <w:sz w:val="20"/>
          <w:szCs w:val="20"/>
          <w:color w:val="auto"/>
        </w:rPr>
      </w:pPr>
    </w:p>
    <w:p>
      <w:pPr>
        <w:ind w:right="180" w:firstLine="177"/>
        <w:spacing w:after="0" w:line="277" w:lineRule="auto"/>
        <w:rPr>
          <w:sz w:val="20"/>
          <w:szCs w:val="20"/>
          <w:color w:val="auto"/>
        </w:rPr>
      </w:pPr>
      <w:r>
        <w:rPr>
          <w:rFonts w:ascii="Arial" w:cs="Arial" w:eastAsia="Arial" w:hAnsi="Arial"/>
          <w:sz w:val="18"/>
          <w:szCs w:val="18"/>
          <w:color w:val="auto"/>
        </w:rPr>
        <w:t>The federal budget and debt ceiling are expected to continue to be the subject of considerable debate, which could have a significant impact on defense spending broadly and our programs in particular.</w:t>
      </w:r>
    </w:p>
    <w:p>
      <w:pPr>
        <w:spacing w:after="0" w:line="170" w:lineRule="exact"/>
        <w:rPr>
          <w:sz w:val="20"/>
          <w:szCs w:val="20"/>
          <w:color w:val="auto"/>
        </w:rPr>
      </w:pPr>
    </w:p>
    <w:p>
      <w:pPr>
        <w:ind w:right="60" w:firstLine="177"/>
        <w:spacing w:after="0" w:line="270" w:lineRule="auto"/>
        <w:rPr>
          <w:sz w:val="20"/>
          <w:szCs w:val="20"/>
          <w:color w:val="auto"/>
        </w:rPr>
      </w:pPr>
      <w:r>
        <w:rPr>
          <w:rFonts w:ascii="Arial" w:cs="Arial" w:eastAsia="Arial" w:hAnsi="Arial"/>
          <w:sz w:val="17"/>
          <w:szCs w:val="17"/>
          <w:color w:val="auto"/>
        </w:rPr>
        <w:t>The budget environment, including budget caps mandated by the BCA for fiscal years 2021 and 2022, and uncertainty surrounding the debt ceiling and the appropriations process, remain significant short and long-term risks. Considerable uncertainty exists regarding how future budget and program decisions will unfold, including the defense spending priorities of the Administration and Congress, what challenges budget reductions (required by the BCA and otherwise) will present for the defense industry and whether annual appropriations bills for all agencies will be enacted in a timely manner. If annual appropriations bills are not timely enacted, the U.S. Government may again operate under a continuing resolution, restricting new contract or program starts, presenting resource allocation challenges and placing limitations on some planned program budgets, and we may face another government shutdown of unknown duration. If a prolonged government shutdown of the DoD were to occur, it could result in program cancellations, disruptions and/or stop work orders and could limit the U.S. Government’s ability to effectively progress programs and to make timely payments, and our ability to perform on our U.S. Government contracts and successfully compete for new work.</w:t>
      </w:r>
    </w:p>
    <w:p>
      <w:pPr>
        <w:spacing w:after="0" w:line="181"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We believe continued budget pressures would have serious negative consequences for the security of our country, the defense industrial base, including the Company, and the customers, employees, suppliers, investors, and communities that rely on companies in the defense industrial base. It is likely budget and program decisions made in this environment would have long-term implications for us and the entire defense industry.</w:t>
      </w:r>
    </w:p>
    <w:p>
      <w:pPr>
        <w:spacing w:after="0" w:line="149" w:lineRule="exact"/>
        <w:rPr>
          <w:sz w:val="20"/>
          <w:szCs w:val="20"/>
          <w:color w:val="auto"/>
        </w:rPr>
      </w:pPr>
    </w:p>
    <w:p>
      <w:pPr>
        <w:ind w:right="40" w:firstLine="170"/>
        <w:spacing w:after="0" w:line="279" w:lineRule="auto"/>
        <w:rPr>
          <w:sz w:val="20"/>
          <w:szCs w:val="20"/>
          <w:color w:val="auto"/>
        </w:rPr>
      </w:pPr>
      <w:r>
        <w:rPr>
          <w:rFonts w:ascii="Arial" w:cs="Arial" w:eastAsia="Arial" w:hAnsi="Arial"/>
          <w:sz w:val="17"/>
          <w:szCs w:val="17"/>
          <w:color w:val="auto"/>
        </w:rPr>
        <w:t>Additionally, funding for certain programs in which we participate may be reduced, delayed or cancelled, and budget cuts globally could adversely affect the viability of our subcontractors and suppliers, and our employee base. While we believe that our business is well-positioned in areas that the DoD and other customers have indicated are areas of focus for future defense spending, the long-term impact of the BCA, other defense spending cuts, challenges in the appropriations process, the debt ceiling and the ongoing fiscal debates remain uncertain.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ind w:right="260" w:firstLine="180"/>
        <w:spacing w:after="0" w:line="263" w:lineRule="auto"/>
        <w:rPr>
          <w:sz w:val="20"/>
          <w:szCs w:val="20"/>
          <w:color w:val="auto"/>
        </w:rPr>
      </w:pPr>
      <w:r>
        <w:rPr>
          <w:rFonts w:ascii="Arial" w:cs="Arial" w:eastAsia="Arial" w:hAnsi="Arial"/>
          <w:sz w:val="18"/>
          <w:szCs w:val="18"/>
          <w:color w:val="auto"/>
        </w:rPr>
        <w:t>Significant delays or reductions in appropriations; long-term funding under a continuing resolution; an extended debt ceiling breach or government shutdown; and/or future budget and program decisions, among other items, may negatively impact our business and programs and could have a material adverse effect on our financial position, results of operations and/or cash flows.</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important relationships with government agencies and prime contractors, our ability to successfully maintain and develop new business may be adversely affected.</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reputation and relationship with the U.S. Government, and in particular with the agencies of the DoD and the U.S. intelligence community, are key factors in maintaining and developing new business opportunities. In addition, we often act as a subcontractor or in “teaming” arrangements in which we and other contractors bid together on particular contracts or programs for the U.S. Government or government agencies. We expect to continue to depend on relationships with other prime contractors for a portion of our revenue for the foreseeable future. Negative press reports regarding conflicts of interest, poor contract performance, employee misconduct, information security breaches or other aspects of our business, regardless of accuracy, could harm our reputation. Additionally, as a subcontractor or team member, we often lack control over fulfillment of a contract, and poor performance on the contract could tarnish our reputation, even when we perform as required. As a result, we may be unable to successfully maintain our relationships with government agencies or prime contractors, and any failure to do so could adversely affect our ability to maintain our existing business and compete successfully for new business.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of our largest customers, programs, or applications could adversely affect our results of operations.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are dependent on a small number of customers for certain large programs that represent a large portion of our revenues. A significant decrease in the sales to or loss of any of these programs or our major customers would have a material adverse effect on our business and results of operations. In fiscal 2020 and 2019, the U.S. Air Force accounted for 22.5% and 21.3% respectively, of our total revenues and the U.S. Navy accounted for 12.5% and 14.4%, respectively, of our total revenues. No assurance can be given that our customers will not experience financial, technical or other difficulties that could adversely affect their operations and, in turn, our results of operations. We believe that the USAF BQM-167, USN BQM-177, and the GBSD programs could be a large portion of our future revenues in the coming years, and the loss or cancellation of any of these programs could adversely affect our future results. Further, new programs may yield lower margins than legacy programs, which could result in an overall reduction in gross margins.</w:t>
      </w:r>
    </w:p>
    <w:p>
      <w:pPr>
        <w:spacing w:after="0" w:line="85"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auto"/>
        </w:rPr>
        <w:t>Many of our contracts contain performance obligations that require innovative design capabilities, are technologically complex, require state-of-the-art manufacturing expertise, or are dependent upon factors not wholly within our control. Failure to meet these obligations could adversely affect our profitability and future prospects. Early termination of client contracts or contract penalties could adversely affect our results of operations.</w:t>
      </w:r>
    </w:p>
    <w:p>
      <w:pPr>
        <w:spacing w:after="0" w:line="131"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We design, develop, and manufacture technologically advanced and innovative products and services, which are applied by our customers in a variety of environments. Problems and delays in development or delivery as a result of issues with respect to design, technology, licensing and intellectual property rights, labor, inability to achieve learning curve assumptions, manufacturing materials or components could prevent us from meeting requirements. Either we or the customer may generally terminate a contract as a result of a material uncured breach by the other. If we breach a contract or fail to perform in accordance with contractual service levels, delivery schedules, performance specifications, or other contractual requirements set forth therein, the other party thereto may terminate such contract for default, and we may be required to refund money previously paid to us by the customer or to pay penalties or other damages. Even if we have not breached, we may deal with various situations from time to time that may result in the amendment or termination of a contract. These steps can result in significant current period charges and/or reductions in current or future revenue, and/or delays in collection of outstanding receivables and costs incurred on the contract. Other factors that may affect revenue and profitability include inaccurate cost estimates, design issues, unforeseen costs and expenses not covered by insurance or indemnification from the customer, diversion of management focus in responding to unforeseen problems, and loss of follow-on work.</w:t>
      </w:r>
    </w:p>
    <w:p>
      <w:pPr>
        <w:spacing w:after="0" w:line="18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our subcontractors or suppliers fail to perform their contractual obligations, our performance and reputation as a contractor and our ability to obtain future business could suffer.</w:t>
      </w:r>
    </w:p>
    <w:p>
      <w:pPr>
        <w:spacing w:after="0" w:line="170"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As a prime contractor, we often rely upon other companies as subcontractors to perform work we are obligated to perform for our customers. As we secure more work under certain of our contracts, we expect to require an increasing level of support from subcontractors that provide complementary and supplementary services to our offerings. We are responsible for the work performed by our subcontractors, even though in some cases we have limited involvement in that work. If one or more of our subcontractors fails to satisfactorily perform the agreed-upon services on a timely basis or violates U.S. Government contracting policies, laws or regulations, our ability to perform our obligations as a prime contractor or meet our customers’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9" w:name="page20"/>
    <w:bookmarkEnd w:id="19"/>
    <w:p>
      <w:pPr>
        <w:spacing w:after="0" w:line="263" w:lineRule="auto"/>
        <w:rPr>
          <w:sz w:val="20"/>
          <w:szCs w:val="20"/>
          <w:color w:val="auto"/>
        </w:rPr>
      </w:pPr>
      <w:r>
        <w:rPr>
          <w:rFonts w:ascii="Arial" w:cs="Arial" w:eastAsia="Arial" w:hAnsi="Arial"/>
          <w:sz w:val="18"/>
          <w:szCs w:val="18"/>
          <w:color w:val="auto"/>
        </w:rPr>
        <w:t>expectations may be compromised. In extreme cases, performance or other deficiencies on the part of our subcontractors could result in a customer terminating our contract for default. A termination for default could expose us to liability, including liability for the agency’s costs of re-procurement, could damage our reputation and could hurt our ability to compete for future contracts.</w:t>
      </w:r>
    </w:p>
    <w:p>
      <w:pPr>
        <w:spacing w:after="0" w:line="18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are also required to procure certain materials and parts from supply sources approved by the U.S. Government. The inability of a supplier to meet our needs or the appearance of counterfeit parts in our products could have a material adverse effect on our financial position,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and profitability depend, in part, on subcontractor and supplier performance and product availability.</w:t>
      </w:r>
    </w:p>
    <w:p>
      <w:pPr>
        <w:spacing w:after="0" w:line="225"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We rely on other companies to provide major components for our products. For instance, we build the airframe, electronics and flight control systems for our unmanned aerial systems. We primarily rely on our suppliers to provide the engines and parachutes for landing the aircraft. Disruptions or performance problems caused by our subcontractors and suppliers, or a misalignment between our contractual obligations to our customers and our agreements with our subcontractors and suppliers, could have an adverse effect on our ability to meet our commitments to customers.</w:t>
      </w:r>
    </w:p>
    <w:p>
      <w:pPr>
        <w:spacing w:after="0" w:line="15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ability to perform our obligations on time could be adversely affected if one or more of our subcontractors or suppliers were unable to provide the agreed-upon products or materials or perform the agreed-upon services in a timely, compliant and cost-effective manner or otherwise to meet the requirements of the contract. Changes in economic conditions, including changes in defense budgets or credit availability, or other changes impacting a subcontractor or supplier (including changes in ownership or operations) could adversely affect the financial stability of our subcontractors and suppliers and/or their ability to perform. The inability of our suppliers to perform, or their inability to perform adequately, could also result in the need for us to transition to alternate suppliers, which could result in significant incremental cost and delay or the need for us to provide other resources to support our existing suppliers.</w:t>
      </w:r>
    </w:p>
    <w:p>
      <w:pPr>
        <w:spacing w:after="0" w:line="19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connection with our U.S. Government contracts, we are required to procure certain materials, components and parts from supply sources approved by the customer. We are also facing increased and changing regulatory requirements, many of which apply to our subcontractors and suppliers. In some cases, there may be only one supplier for certain components. If a sole source supplier cannot meet our needs or is otherwise unavailable, we may be unable to find a suitable alternative.</w:t>
      </w:r>
    </w:p>
    <w:p>
      <w:pPr>
        <w:spacing w:after="0" w:line="187"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Our procurement practices are intended to reduce the likelihood of our procurement of counterfeit, unauthorized or otherwise non-compliant parts or materials. We rely on our subcontractors and suppliers to comply with applicable laws and regulations, including regarding the parts or materials we procure from them; in some circumstances, we rely on certifications provided by our subcontractors and suppliers regarding their compliance. We also rely on our subcontractors and suppliers to effectively mitigate the risk of cyber and security threats or other disruptions with respect to the products and components they deliver to us and the information entrusted to them by us or our customers.</w:t>
      </w:r>
    </w:p>
    <w:p>
      <w:pPr>
        <w:spacing w:after="0" w:line="17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If we are unable to procure, or experience significant delays in subcontractor or supplier deliveries of, needed materials, components, intellectual property or parts; if our subcontractors or suppliers do not comply with all applicable laws and regulations; if the certifications we receive from them are inaccurate; or if what we receive is counterfeit or otherwise improper, it could have a material adverse effect on our financial position, results of operations and/or cash flows.</w:t>
      </w:r>
    </w:p>
    <w:p>
      <w:pPr>
        <w:spacing w:after="0" w:line="187"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We face intense competition from many competitors that have greater resources than we do, which could result in price reductions, reduced profitability or loss of market share.</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operate in highly competitive markets and generally encounter intense competition to win contracts from many other firms, including mid-tier federal contractors with specialized capabilities, large defense contractors and IT service providers. Competition in our markets may increase as a result of a number of factors, such as the entrance of new or larger competitors, including those formed through alliances or consolidation, or the reduction in the overall number of government contracts. We may also face competition from prime contractors for whom we currently serve as subcontractors or teammates if those prime contractors choose to offer customer services of the type that we are currently providing. In addition, we may face competition from our subcontractors who, from time-to-time, seek to obtain prime contractor status on contracts for which they currently serve as a subcontractor to us.</w:t>
      </w:r>
    </w:p>
    <w:p>
      <w:pPr>
        <w:spacing w:after="0" w:line="191"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Many of our competitors have greater financial, technical, marketing and public relations resources, larger customer bases and greater brand or name recognition than we do. Such competitors may be able to utilize their substantially greater resources and economies of scale to, among other things: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0" w:name="page21"/>
    <w:bookmarkEnd w:id="20"/>
    <w:p>
      <w:pPr>
        <w:ind w:left="1300" w:right="360" w:hanging="320"/>
        <w:spacing w:after="0" w:line="224" w:lineRule="exact"/>
        <w:tabs>
          <w:tab w:leader="none" w:pos="12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divert sales from us by winning very large</w:t>
      </w:r>
      <w:r>
        <w:rPr>
          <w:rFonts w:ascii="MS PGothic" w:cs="MS PGothic" w:eastAsia="MS PGothic" w:hAnsi="MS PGothic"/>
          <w:sz w:val="16"/>
          <w:szCs w:val="16"/>
          <w:color w:val="auto"/>
        </w:rPr>
        <w:t>‑</w:t>
      </w:r>
      <w:r>
        <w:rPr>
          <w:rFonts w:ascii="Arial" w:cs="Arial" w:eastAsia="Arial" w:hAnsi="Arial"/>
          <w:sz w:val="16"/>
          <w:szCs w:val="16"/>
          <w:color w:val="auto"/>
        </w:rPr>
        <w:t>scale government contracts, a risk that is enhanced by the recent trend in government procurement practices to bundle services into larger contracts and the recent trend of making award determinations on a LPTA basis;</w:t>
      </w:r>
    </w:p>
    <w:p>
      <w:pPr>
        <w:ind w:left="1300" w:hanging="320"/>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divert sales from us by the award of government contracts to our competitors who may be willing to bid at substantially lower prices;</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force us to charge lower prices; or</w:t>
      </w:r>
    </w:p>
    <w:p>
      <w:pPr>
        <w:spacing w:after="0" w:line="9" w:lineRule="exact"/>
        <w:rPr>
          <w:rFonts w:ascii="Arial" w:cs="Arial" w:eastAsia="Arial" w:hAnsi="Arial"/>
          <w:sz w:val="18"/>
          <w:szCs w:val="18"/>
          <w:color w:val="auto"/>
        </w:rPr>
      </w:pPr>
    </w:p>
    <w:p>
      <w:pPr>
        <w:ind w:left="1300" w:right="80" w:hanging="320"/>
        <w:spacing w:after="0" w:line="260"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adversely affect our relationships with current customers, including our ability to continue to win competitively awarded engagements in which we are the incumbent.</w:t>
      </w:r>
    </w:p>
    <w:p>
      <w:pPr>
        <w:spacing w:after="0" w:line="21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the event that the market for products in our US segment expands, we expect that competition will intensify as additional competitors enter the market and current competitors expand their product lines. In order to secure contracts successfully when competing with larger, well-financed companies, we may be forced to agree to contractual terms that provide for lower aggregate payments to us over the life of the contract, which could adversely affect our margins. In addition, larger diversified competitors serving as prime contractors may be able to supply underlying products and services from affiliated entities, which would prevent us from competing for subcontracting opportunities on these contracts. If we lose business to our competitors or are forced to lower our prices, our revenue and operating profits could decline.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dependent upon our ability to keep pace with the latest technological changes.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market for our services is characterized by rapid change and technological improvements. Failure to respond in a timely and cost-effective way to these technological developments would result in serious harm to our business and operating results. We have derived, and we expect to continue to derive, a substantial portion of our revenues from providing innovative engineering services and technical solutions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customer preferences.</w:t>
      </w:r>
    </w:p>
    <w:p>
      <w:pPr>
        <w:spacing w:after="0" w:line="192"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believe that, in order to remain competitive in the future, we will need to continue to invest significant financial resources to develop new offerings and technologies or to adapt or modify our existing offerings and technologies, including through internal research and development, acquisitions and joint ventures or other teaming arrangements. These expenditures could divert our attention and resources from other projects, and we cannot be sure that these expenditures will ultimately lead to the timely development of new offerings and technologies or identification of and expansion into new markets. Due to the design complexity of our products, we may, in the future, experience delays in completing the development and introduction of new products. Any delays could result in increased costs of development or deflect resources from other projects. In addition, there can be no assurance that the market for our products will develop or continue to expand or that we will be successful in newly identified markets as we currently anticipate. The failure of our technology to gain market acceptance could significantly reduce our revenues and harm our business. Furthermore, we cannot be sure that our competitors will not develop competing technologies that gain market acceptance in advance of our products.</w:t>
      </w:r>
    </w:p>
    <w:p>
      <w:pPr>
        <w:spacing w:after="0" w:line="193"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Additionally, the possibility exists that our competitors might develop new technology or offerings that might cause our existing technology and offerings to become obsolete. If we fail in our new product development efforts or our products or services fail to achieve market acceptance more rapidly as compared to our competitors, our ability to procure new contracts could be negatively impacted, which could negatively impact our results of operations and financial condition.</w:t>
      </w:r>
    </w:p>
    <w:p>
      <w:pPr>
        <w:spacing w:after="0" w:line="21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the UAS and UGS markets do not experience significant growth, if we cannot expand our customer base or if our products do not achieve broad acceptance, then we may not be able to achieve our anticipated level of growth.</w:t>
      </w:r>
    </w:p>
    <w:p>
      <w:pPr>
        <w:spacing w:after="0" w:line="19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For the fiscal year ended December 27, 2020, our US segment accounted for 25.0% of our total revenue. We cannot accurately predict the future growth rate or size of this market. Demand for our products may not increase, or may decrease, either generally or in specific markets, for particular types of products or during particular time periods. There are only a limited number of programs under which the U.S. military, our primary customer, is currently funding the development or purchase of our UAS and UGS products. Although we are seeking to expand our US customer base to include foreign governments, domestic non-military agencies and commercial customers, we cannot assure that our efforts will be successful. The expansion of the UAS and UGS markets in general, and the market for our products in particular, depends on a number of factors, including the following:</w:t>
      </w:r>
    </w:p>
    <w:p>
      <w:pPr>
        <w:spacing w:after="0" w:line="19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satisfaction with these types of systems as solutions;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performance and reliability of our products and products offered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perceptions regarding the effectiveness and value of these types of systems;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1" w:name="page22"/>
    <w:bookmarkEnd w:id="21"/>
    <w:p>
      <w:pPr>
        <w:ind w:left="180" w:right="3880" w:firstLine="152"/>
        <w:spacing w:after="0" w:line="258" w:lineRule="auto"/>
        <w:tabs>
          <w:tab w:leader="none" w:pos="6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on our ability to market our US products and services outside the U.S. due to U.S. Government regulations;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marketing efforts and publicity regarding these types of systems.</w:t>
      </w:r>
    </w:p>
    <w:p>
      <w:pPr>
        <w:spacing w:after="0" w:line="23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Even if UAS and UGS gain wide market acceptance in general, our specific products may not adequately address market requirements or may not gain market acceptance. If these types of systems generally, or our products specifically, do not gain wide market acceptance, then we may not be able to achieve our anticipated level of growth and our revenue and results of operations may suffer.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our GSA contracts or GWACs could impair our ability to attract new business.</w:t>
      </w:r>
    </w:p>
    <w:p>
      <w:pPr>
        <w:spacing w:after="0" w:line="13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are a prime contractor under several GSA contracts and GWAC vehicles. We believe that our ability to provide services under these contracts will continue to be important to our business because of the multiple opportunities for new engagements each contract provides. If we were to lose our position as prime contractor on one or more of these contracts, we could lose substantial revenues and our operating results could suffer. GSA contracts and other GWACs typically have a one or two-year initial term with multiple options exercisable at the government customer’s discretion to extend the contract for one or more years. We cannot be assured that our government customers will continue to exercise the options remaining on our current contracts, nor can we be assured that our future customers will exercise options on any contracts we may receive in the future.</w:t>
      </w:r>
    </w:p>
    <w:p>
      <w:pPr>
        <w:spacing w:after="0" w:line="8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Government contracts differ materially from standard commercial contracts, involve competitive bidding and may be subject to cancellation or delay without penalty.</w:t>
      </w:r>
    </w:p>
    <w:p>
      <w:pPr>
        <w:spacing w:after="0" w:line="89" w:lineRule="exact"/>
        <w:rPr>
          <w:sz w:val="20"/>
          <w:szCs w:val="20"/>
          <w:color w:val="auto"/>
        </w:rPr>
      </w:pPr>
    </w:p>
    <w:p>
      <w:pPr>
        <w:ind w:right="560" w:firstLine="648"/>
        <w:spacing w:after="0" w:line="263" w:lineRule="auto"/>
        <w:rPr>
          <w:sz w:val="20"/>
          <w:szCs w:val="20"/>
          <w:color w:val="auto"/>
        </w:rPr>
      </w:pPr>
      <w:r>
        <w:rPr>
          <w:rFonts w:ascii="Arial" w:cs="Arial" w:eastAsia="Arial" w:hAnsi="Arial"/>
          <w:sz w:val="18"/>
          <w:szCs w:val="18"/>
          <w:color w:val="auto"/>
        </w:rPr>
        <w:t>Government contracts frequently include provisions that are not standard in private commercial transactions and are subject to laws and regulations that give the U.S. Government rights and remedies not typically found in commercial contracts, including provisions permitting the U.S. Government to:</w:t>
      </w:r>
    </w:p>
    <w:p>
      <w:pPr>
        <w:spacing w:after="0" w:line="103"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terminate our existing contracts;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potential future income from our existing contracts;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modify some of the terms and conditions in our existing contracts;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suspend or permanently prohibit us from doing business with the U.S. Government or with any specific government agency;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impose fines and penalties;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us to criminal prosecution;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suspend work under existing multiple year contracts and related task orders if the necessary funds are not appropriated by Congress;</w:t>
      </w:r>
    </w:p>
    <w:p>
      <w:pPr>
        <w:spacing w:after="0" w:line="32" w:lineRule="exact"/>
        <w:rPr>
          <w:rFonts w:ascii="Arial" w:cs="Arial" w:eastAsia="Arial" w:hAnsi="Arial"/>
          <w:sz w:val="16"/>
          <w:szCs w:val="16"/>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decline to exercise an option to extend an existing multiple year contract;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claim rights in technologies and systems invented, developed or produced by us.</w:t>
      </w:r>
    </w:p>
    <w:p>
      <w:pPr>
        <w:spacing w:after="0" w:line="23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addition, government contracts are frequently awarded only after formal competitive bidding processes, which have been and may continue to be protracted and typically impose provisions that permit cancellation in the event that necessary funds are unavailable to the government agency. Competitive procurements impose substantial costs and managerial time and effort in order to prepare bids and proposals for contracts that may not be awarded to us. In many cases, unsuccessful bidders for government contracts are provided the opportunity to formally protest certain contract awards through various agencies, administrative and judicial channels. We have experienced an increase in competitor bid protests on contracts on which we were the successful bidder due to the competitive environment resulting from decreased government spending. In addition, we have formally protested procurement awards in which we were not the initial successful bidder, but believed that the source selection process was flawed. The protest process may substantially delay a successful bidder’s contract performance, result in cancellation of the contract award entirely and distract management. We may not be awarded contracts for which we bid, and substantial delays or cancellation of purchases may follow our successful bids as a result of such protests. We believe that this environment of protracted competitive bidding processes and competitor bid protests will continue.</w:t>
      </w:r>
    </w:p>
    <w:p>
      <w:pPr>
        <w:spacing w:after="0" w:line="16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Certain of our government contracts also contain “organizational conflict of interest” clauses that could limit our ability to compete for certain related follow-on contracts. For example, when we work on the design of a particular solution, we may be precluded from competing for the contract to install that solution. While we actively monitor our contracts to avoid these conflicts, we cannot guarantee that we will be able to avoid all organizational conflict of interest issues.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ind w:right="220"/>
        <w:spacing w:after="0" w:line="277" w:lineRule="auto"/>
        <w:rPr>
          <w:sz w:val="20"/>
          <w:szCs w:val="20"/>
          <w:color w:val="auto"/>
        </w:rPr>
      </w:pPr>
      <w:r>
        <w:rPr>
          <w:rFonts w:ascii="Arial" w:cs="Arial" w:eastAsia="Arial" w:hAnsi="Arial"/>
          <w:sz w:val="18"/>
          <w:szCs w:val="18"/>
          <w:b w:val="1"/>
          <w:bCs w:val="1"/>
          <w:i w:val="1"/>
          <w:iCs w:val="1"/>
          <w:color w:val="auto"/>
        </w:rPr>
        <w:t>We may not receive the full amounts estimated under the contracts in our backlog, which could reduce our revenue in future periods below the levels anticipated. This makes backlog an uncertain indicator of future operating results.</w:t>
      </w:r>
    </w:p>
    <w:p>
      <w:pPr>
        <w:spacing w:after="0" w:line="17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Backlog is typically subject to large variations from quarter to quarter and comparisons of backlog from period to period are not necessarily indicative of future revenues. The contracts comprising our backlog may not result in actual revenue in any particular period or at all, and the actual revenue from such contracts may differ from our backlog estimates. The timing of receipt of revenues, if any, on projects included in backlog could change because many factors affect the scheduling of projects. Cancellation of or adjustments to contracts may occur. Additionally, all U.S. Government contracts included in backlog, whether or not funded, may be terminated at the convenience of the U.S. Government. The failure to realize all amounts in our backlog could adversely affect our revenues and gross margins. As a result, our funded, unfunded and total backlog as of any particular date may not be an accurate indicator of our future earnings.</w:t>
      </w:r>
    </w:p>
    <w:p>
      <w:pPr>
        <w:spacing w:after="0" w:line="1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 preference for minority-owned, small and small disadvantaged businesses could impact our ability to be a prime contractor and limit our opportunity to work as a subcontractor on certain governmental procurements.</w:t>
      </w:r>
    </w:p>
    <w:p>
      <w:pPr>
        <w:spacing w:after="0" w:line="170"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As a result of the Small Business Administration (“SBA”) set-aside program, the federal government may decide to restrict certain procurements only to bidders that qualify as minority-owned, small, or small disadvantaged businesses. As a result, we would not be eligible to perform as a prime contractor on those programs and in general would be restricted to no more than 49% of the work as a subcontractor on those programs. An increase in the amount of procurements under the SBA set-aside program may impact our ability to bid on new procurements as a prime contractor, limit our opportunity to work as a subcontractor or restrict our ability to compete on incumbent work that is placed in the set-aside program.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in-sourcing could result in loss of business opportunities and personnel.</w:t>
      </w:r>
    </w:p>
    <w:p>
      <w:pPr>
        <w:spacing w:after="0" w:line="225"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The U.S. Government has continued to reduce the percentage of contracted services in favor of more federal employees through an initiative called “in-sourcing.” Over time, in-sourcing could have an adverse effect on our business, financial condition and results of operations. Specifically, as a result of in-sourcing, government procurements for services could be fewer and smaller in the future. In addition, work we currently perform could be in-sourced by the federal government and, as a result, our revenues could be reduced. Moreover, our employees could also be hired by the government. This loss of our employees would necessitate the need to retain and train new employees. Accordingly, the effect of in-sourcing or the continuation of in-sourcing at a faster-than-expected rate could have an adverse effect on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by cyber and other security threats or disruptions.</w:t>
      </w:r>
    </w:p>
    <w:p>
      <w:pPr>
        <w:spacing w:after="0" w:line="25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As a defense contractor, we face various cyber and other security threats, including attempts to gain unauthorized access to sensitive information and networks; insider threats; threats to the safety of our directors, officers and employees; threats to the security and viability of our facilities, infrastructure and supply chain; and threats from terrorist acts or other acts of aggression. Our customers and partners (including our supply chain and joint ventures) face similar threats and growing requirements. Although we utilize various procedures and controls to monitor and mitigate the risk of these threats, there can be no assurance that these procedures and controls will be sufficient. The occurrence of some of these risks may be increased due to the increase in remote working by our employees, suppliers, contractors and other third parties due to the COVID-19 pandemic. Such an incident could lead to losses or unauthorized disclosure of sensitive information or capabilities; theft or exposure of data; harm to personnel, infrastructure or products; regulatory actions; and/or financial liabilities, as well as potential damage to our reputation as a government contractor and provider of cyber-related or cyber-protected goods and services.</w:t>
      </w:r>
    </w:p>
    <w:p>
      <w:pPr>
        <w:spacing w:after="0" w:line="20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Cyber threats are continuously evolving and include, but are not limited to: malicious software, destructive malware, attempts to gain unauthorized access to data, disruption or denial of service attacks, and other electronic security breaches that could lead to disruptions in mission critical systems; unauthorized release of confidential, personal or otherwise protected information (our Company's information or that of our employees, customers or partners); corruption of data, networks or systems; harm to individuals; and loss of assets. In addition, we could be impacted by cyber threats or other disruptions or vulnerabilities found in products we use or in our partners’ or customers’ systems that are used in connection with our business. These events, if not prevented or effectively mitigated, could damage our reputation, require remedial actions and lead to loss of business, regulatory actions, potential liability and other financial losses.</w:t>
      </w:r>
    </w:p>
    <w:p>
      <w:pPr>
        <w:spacing w:after="0" w:line="22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provide systems, products and services to various customers (both government and commercial) who also face cyber threats. Our systems, products and services may themselves be subject to cyber threats and/or they may not be able to</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detect or properly deter threats, or effectively to mitigate resulting losses. These losses could adversely affect our customers and our Company.</w:t>
      </w:r>
    </w:p>
    <w:p>
      <w:pPr>
        <w:spacing w:after="0" w:line="26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impact of these various factors is difficult to predict, but one or more of them could result in the loss of information or capabilities, harm to individuals or property, damage to our reputation, loss of business, contractual or regulatory actions and potential liabilities, any one of which could have a material adverse effect on our financial position, results of operations and/or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systems or service failure, our reputation could be harmed and our customers could assert claims against us for damages or refunds.</w:t>
      </w:r>
    </w:p>
    <w:p>
      <w:pPr>
        <w:spacing w:after="0" w:line="260"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create, implement and maintain IT solutions that are often critical to our customers’ operations. We have experienced, and may in the future experience, some systems and service failures, schedule or delivery delays and other problems in connection with our work. If we experience these problems, we may:</w:t>
      </w:r>
    </w:p>
    <w:p>
      <w:pPr>
        <w:spacing w:after="0" w:line="184"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lose revenue due to adverse customer reaction;</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required to provide additional services to a customer at no charge;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cause customers to postpone, cancel or fail to renew contracts;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receive negative publicity, which could damage our reputation and adversely affect our ability to attract or retain customers; and</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suffer claims for substantial damages.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cannot ensure that provisions in our customer contracts will be legally sufficient to protect us if we are sued.</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our errors and omissions and product liability insurance coverage may not be adequate, may not continue to be available on reasonable terms or in sufficient amounts to cover one or more large claims, or the insurer may disclaim coverage as to some types of future claims. The successful assertion of any large claim against us could seriously harm our business. Even if not successful, these claims may result in significant legal and other costs, be a distraction to our management and harm our reputation.</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products are complex and could have unknown defects or errors, which may increase our costs, harm our reputation with customers, give rise to costly litigation, or divert our resources from other purposes</w:t>
      </w:r>
      <w:r>
        <w:rPr>
          <w:rFonts w:ascii="Arial" w:cs="Arial" w:eastAsia="Arial" w:hAnsi="Arial"/>
          <w:sz w:val="18"/>
          <w:szCs w:val="18"/>
          <w:b w:val="1"/>
          <w:bCs w:val="1"/>
          <w:color w:val="auto"/>
        </w:rPr>
        <w:t>.</w:t>
      </w:r>
    </w:p>
    <w:p>
      <w:pPr>
        <w:spacing w:after="0" w:line="17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Our products, including but not limited to unmanned vehicles, aerial targets, UAS and ballistic missile targets, are extremely complex and must operate successfully with complex products from other vendors. Despite testing, our products have contained defects and errors and may in the future contain defects or errors, or experience performance problems when first introduced, when new versions or enhancements are released, or even after these products have been used by our customers for a period of time. These problems could result in expensive and time-consuming design modifications or warranty charges, delays in the introduction of new products or enhancements, significant increases in our service and maintenance costs, diversion of our personnel’s attention from our product development efforts, exposure to liability for damages, damaged customer relationships, and harm to our reputation, any of which could materially harm our results of operations. In addition, increased development and warranty costs could be substantial and could reduce our operating margins.</w:t>
      </w:r>
    </w:p>
    <w:p>
      <w:pPr>
        <w:spacing w:after="0" w:line="20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existence of any defects, errors, or failures in our products or the misuse of our products could also lead to lawsuits against us, result in injury, death, or property damage, and significantly damage our reputation and support for our products in general.</w:t>
      </w:r>
    </w:p>
    <w:p>
      <w:pPr>
        <w:spacing w:after="0" w:line="197"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Although we maintain insurance policies, we cannot provide assurance that this insurance will be adequate to protect us from all material judgments and expenses related to potential future claims or that these levels of insurance will be available in the future at economical prices or at all. A successful liability claim could result in substantial cost to us. Even if we are fully insured as it relates to a claim, the claim could nevertheless diminish our brand and divert management’s attention and resources, which could have a negative impact on our business, financial condition, and results of operations.</w:t>
      </w:r>
    </w:p>
    <w:p>
      <w:pPr>
        <w:spacing w:after="0" w:line="184" w:lineRule="exact"/>
        <w:rPr>
          <w:sz w:val="20"/>
          <w:szCs w:val="20"/>
          <w:color w:val="auto"/>
        </w:rPr>
      </w:pPr>
    </w:p>
    <w:p>
      <w:pPr>
        <w:ind w:right="2360"/>
        <w:spacing w:after="0" w:line="342" w:lineRule="auto"/>
        <w:rPr>
          <w:sz w:val="20"/>
          <w:szCs w:val="20"/>
          <w:color w:val="auto"/>
        </w:rPr>
      </w:pPr>
      <w:r>
        <w:rPr>
          <w:rFonts w:ascii="Arial" w:cs="Arial" w:eastAsia="Arial" w:hAnsi="Arial"/>
          <w:sz w:val="16"/>
          <w:szCs w:val="16"/>
          <w:b w:val="1"/>
          <w:bCs w:val="1"/>
          <w:i w:val="1"/>
          <w:iCs w:val="1"/>
          <w:color w:val="auto"/>
        </w:rPr>
        <w:t>Due to the volatile and flammable nature of certain components of our products and equipment, fires or explosions may disrupt our business or cause significant injuries, which could adversely affect our financial results.</w:t>
      </w:r>
    </w:p>
    <w:p>
      <w:pPr>
        <w:spacing w:after="0" w:line="124"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The development and manufacture of certain of our products involves the handling of a variety of explosive and flammable materials as well as high power equipment. From time to time, these activities may result in incidents that could cause us to temporarily shut down or otherwise disrupt some manufacturing processes, causing production delays and resulting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spacing w:after="0" w:line="275" w:lineRule="auto"/>
        <w:rPr>
          <w:sz w:val="20"/>
          <w:szCs w:val="20"/>
          <w:color w:val="auto"/>
        </w:rPr>
      </w:pPr>
      <w:r>
        <w:rPr>
          <w:rFonts w:ascii="Arial" w:cs="Arial" w:eastAsia="Arial" w:hAnsi="Arial"/>
          <w:sz w:val="17"/>
          <w:szCs w:val="17"/>
          <w:color w:val="auto"/>
        </w:rPr>
        <w:t>in liability for workplace injuries and/or fatalities. We have safety and loss prevention programs that require detailed reviews of process changes and new operations, along with routine safety audits of operations involving explosive materials, to mitigate such incidents, as well as a variety of insurance policies. However, we cannot ensure that we will not experience such incidents in the future or that any such incidents will not result in production delays or otherwise have a material adverse effect on our business and financial condition. In addition, our microwave electronics business which is based in Israel may suffer disruption or damage from acts of terrorism, or other conflicts in that geographic region.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vary significantly from quarter to quarter.</w:t>
      </w:r>
    </w:p>
    <w:p>
      <w:pPr>
        <w:spacing w:after="0" w:line="252" w:lineRule="exact"/>
        <w:rPr>
          <w:sz w:val="20"/>
          <w:szCs w:val="20"/>
          <w:color w:val="auto"/>
        </w:rPr>
      </w:pPr>
    </w:p>
    <w:p>
      <w:pPr>
        <w:jc w:val="both"/>
        <w:ind w:right="400" w:firstLine="648"/>
        <w:spacing w:after="0" w:line="259" w:lineRule="auto"/>
        <w:rPr>
          <w:sz w:val="20"/>
          <w:szCs w:val="20"/>
          <w:color w:val="auto"/>
        </w:rPr>
      </w:pPr>
      <w:r>
        <w:rPr>
          <w:rFonts w:ascii="Arial" w:cs="Arial" w:eastAsia="Arial" w:hAnsi="Arial"/>
          <w:sz w:val="18"/>
          <w:szCs w:val="18"/>
          <w:color w:val="auto"/>
        </w:rPr>
        <w:t>We expect our revenue and operating results to vary from quarter to quarter. 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are terminated or expire and are not renewed.</w:t>
      </w:r>
    </w:p>
    <w:p>
      <w:pPr>
        <w:spacing w:after="0" w:line="214"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In addition, payments due to us from our customers may be delayed due to billing cycles or as a result of failures of government budgets to gain congressional and administration approval in a timely manner. The U.S. Government’s fiscal year ends September 30. If a federal budget for the next federal fiscal year has not been approved by that date in each year, our customers may have to suspend engagements that we are working on until a budget has been approved. Any such suspensions may reduce our revenue in the fourth quarter of the federal fiscal year or the first quarter of the subsequent year. The U.S. Government’s fiscal year end can also trigger increased purchase requests from customers for equipment and materials. Any increased purchase requests we receive as a result of the U.S. Government’s fiscal year end would serve to increase our third or fourth quarter revenue, but will generally decrease profit margins for that quarter, as these activities generally are not as profitable as our typical offerings.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Additional factors that may cause our financial results to fluctuate from quarter to quarter include those addressed elsewhere in this Item 1A “Risk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Factors” and the following factors, among others:</w:t>
      </w:r>
    </w:p>
    <w:p>
      <w:pPr>
        <w:spacing w:after="0" w:line="211" w:lineRule="exact"/>
        <w:rPr>
          <w:sz w:val="20"/>
          <w:szCs w:val="20"/>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of customer contracts that affect the timing of revenue recognition;</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variability in demand for our services and solutions;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commencement, completion or termination of contracts during any particular quarter;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timing of shipments and product deliveries;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timing of award or performance incentive fee notices;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timing of significant bid and proposal costs;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remediating unknown defects, errors or performance problems of our product offerings;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variable purchasing patterns under GSA contracts, GWACs, blanket purchase agreements and other IDIQ contracts;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and delays related to the export of defense articles and services;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related to government inquiries;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and joint ventures;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investments or changes in business strategy;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extent to which we use subcontractors;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seasonal fluctuations in our staff utilization rates;</w:t>
      </w:r>
    </w:p>
    <w:p>
      <w:pPr>
        <w:spacing w:after="0" w:line="9" w:lineRule="exact"/>
        <w:rPr>
          <w:rFonts w:ascii="Arial" w:cs="Arial" w:eastAsia="Arial" w:hAnsi="Arial"/>
          <w:sz w:val="18"/>
          <w:szCs w:val="18"/>
          <w:color w:val="auto"/>
        </w:rPr>
      </w:pPr>
    </w:p>
    <w:p>
      <w:pPr>
        <w:ind w:left="1300" w:right="220" w:hanging="320"/>
        <w:spacing w:after="0" w:line="250"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effective tax rate, including changes in our judgment as to the necessity of the valuation allowance recorded against our deferred tax assets; and</w:t>
      </w: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length of sales cycles.</w:t>
      </w:r>
    </w:p>
    <w:p>
      <w:pPr>
        <w:spacing w:after="0" w:line="23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Significant fluctuations in our operating results for a particular quarter could cause us to fall out of compliance with the financial covenants related to our debt, which if not waived, could restrict our access to capital and cause us to take extreme measures to pay down the debt, if any, under our $90.0 million Amended and Restated Credit and Security Agreement, dated November 20, 2017 (as amended, the “Credit Agreement”), by and among the Company, the lenders named therein, SunTrust Bank, as Agent (the “Agent”), and SunTrust Robinson Humphrey, Inc. as Lead Arranger and Sole Book Runner. In addition, fluctuations in our financial results could cause our stock price to decline. See the risks and uncertainties related to our ability to raise additional capital below in </w:t>
      </w:r>
      <w:r>
        <w:rPr>
          <w:rFonts w:ascii="Arial" w:cs="Arial" w:eastAsia="Arial" w:hAnsi="Arial"/>
          <w:sz w:val="18"/>
          <w:szCs w:val="18"/>
          <w:i w:val="1"/>
          <w:iCs w:val="1"/>
          <w:color w:val="auto"/>
        </w:rPr>
        <w:t>“We may need additional capital to fund the growth of our business, and financing may not be available on favorable terms or</w:t>
      </w:r>
      <w:r>
        <w:rPr>
          <w:rFonts w:ascii="Arial" w:cs="Arial" w:eastAsia="Arial" w:hAnsi="Arial"/>
          <w:sz w:val="18"/>
          <w:szCs w:val="18"/>
          <w:color w:val="auto"/>
        </w:rPr>
        <w:t xml:space="preserve"> </w:t>
      </w:r>
      <w:r>
        <w:rPr>
          <w:rFonts w:ascii="Arial" w:cs="Arial" w:eastAsia="Arial" w:hAnsi="Arial"/>
          <w:sz w:val="18"/>
          <w:szCs w:val="18"/>
          <w:i w:val="1"/>
          <w:iCs w:val="1"/>
          <w:color w:val="auto"/>
        </w:rPr>
        <w:t>at all.”</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5" w:name="page26"/>
    <w:bookmarkEnd w:id="25"/>
    <w:p>
      <w:pPr>
        <w:ind w:right="220"/>
        <w:spacing w:after="0" w:line="223" w:lineRule="exact"/>
        <w:rPr>
          <w:sz w:val="20"/>
          <w:szCs w:val="20"/>
          <w:color w:val="auto"/>
        </w:rPr>
      </w:pPr>
      <w:r>
        <w:rPr>
          <w:rFonts w:ascii="Arial" w:cs="Arial" w:eastAsia="Arial" w:hAnsi="Arial"/>
          <w:sz w:val="18"/>
          <w:szCs w:val="18"/>
          <w:b w:val="1"/>
          <w:bCs w:val="1"/>
          <w:i w:val="1"/>
          <w:iCs w:val="1"/>
          <w:color w:val="auto"/>
        </w:rPr>
        <w:t>Our margins and operating results may suffer if we experience unfavorable changes in the proportion of cost-plus-fee or fixed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price contracts in our total contract mix.</w:t>
      </w:r>
    </w:p>
    <w:p>
      <w:pPr>
        <w:spacing w:after="0" w:line="23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Although fixed-price contracts entail a greater risk of a reduced profit or financial loss on a contract compared to other types of contracts we enter into, fixed-price contracts typically provide higher profit opportunities because we may be able to benefit from cost savings and operating efficiencies. In contrast, cost-plus-fee contracts are subject to statutory limits on profit margins and generally are the least profitable of our contract types. Our U.S. Government customers typically determine what type of contract we enter into. Cost-plus-fee and fixed-price contracts in our federal business accounted for approximately 26% and 69%, respectively, of our federal business revenues for the year ended December 27, 2020. To the extent that we enter into more cost-plus-fee or less fixed-price contracts in proportion to our total contract mix in the future, our margins and operating results may suffer. Our operating results may also suffer to the extent we have a contract mix that is focused on developmental projects, which are typically at lower profit margins as compared to margins on production projects.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cash flow and profitability could be reduced if expenditures are incurred prior to the final receipt of a contract.</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provide various professional services, specialized products, and sometimes procure equipment and materials on behalf of our customers under various contractual arrangements. From time to time, in order to ensure that we satisfy our customers’ delivery requirements and schedules, we may elect to initiate procurement in advance of receiving final authorization from the government customer or a prime contractor. In addition, from time to time, we may build production units such as unmanned aerial vehicles in advance of receiving an anticipated contract award. If our government or prime contractor customer’s requirements should change or if the government or the prime contractor should direct the anticipated procurement to another contractor, or if the anticipated contract award does not materialize, or if the equipment or materials become obsolete or require modification before we are under contract for the procurement, our investment in the equipment or materials might be at risk if we cannot efficiently resell them. This could reduce anticipated earnings or result in a loss, negatively affecting our cash flow and profitability.</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fail to respond to commercial industry cycles in terms of our cost structure, manufacturing capacity, and/or personnel needs, our business could be seriously harmed.</w:t>
      </w:r>
    </w:p>
    <w:p>
      <w:pPr>
        <w:spacing w:after="0" w:line="19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timing, length, and severity of the up-and-down cycles in the commercial and defense industries are difficult to predict. This cyclical nature of the industries in which we operate affects our ability to accurately predict future revenue, and in some cases, future expense levels. During down cycles in our industry, the financial results of our customers may be negatively impacted, which could result not only in a decrease in orders but also a weakening of their financial condition that could impair our ability to recognize revenue or to collect on outstanding receivables. When cyclical fluctuations result in lower than expected revenue levels, operating results may be adversely affected and cost reduction measures may be necessary in order for us to remain competitive and financially sound. We must be in a position to adjust our cost and expense structure to reflect prevailing market conditions and to continue to motivate and retain our key employees. If we fail to respond to fluctuating market conditions our business could be seriously harmed. In addition, during periods of rapid growth, we must be able to increase engineering and manufacturing capacity and personnel to meet customer demand. We can provide no assurance that these objectives can be met in a timely manner in response to industry cycles. Each of these factors could adversely impact our operating results and financial condition.</w:t>
      </w:r>
    </w:p>
    <w:p>
      <w:pPr>
        <w:spacing w:after="0" w:line="18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face significant risks in the management of our inventory, and failure to effectively manage our inventory levels may result in product recalls or supply imbalances that could harm our business.</w:t>
      </w:r>
    </w:p>
    <w:p>
      <w:pPr>
        <w:spacing w:after="0" w:line="19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maintain a variety of parts and components in inventory to allow us to customize our products for specific customer requirements, which parts are subject to obsolescence and expiration. Due to the long-lead time for obtaining certain product components and the manufacturing cycles, we need to make forecasts of demand and commit significant resources towards manufacturing our products. As such, we are subject to significant risks in managing the inventory needs of our business during the year, including estimating the appropriate demand for our products. Should orders and market conditions differ significantly from our estimates, our future results of operations could be materially adversely affected. In the future, we may be required to record write-downs of finished products and materials on-hand and/or additional charges for excess purchase commitments as a result of future changes in our sales forecasts or customer orders, which could have a negative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i w:val="1"/>
          <w:iCs w:val="1"/>
          <w:color w:val="auto"/>
        </w:rPr>
        <w:t>We have incurred and may continue to incur goodwill impairment charges in our reporting entities, which could harm our profitability.</w:t>
      </w:r>
    </w:p>
    <w:p>
      <w:pPr>
        <w:spacing w:after="0" w:line="237"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As of December 27, 2020, goodwill represented approximately 31% of our total assets. We test for impairment annually. If impairment testing indicates that the carrying value of a reporting unit exceeds its fair value, the goodwill of the reporting unit is deemed impaired. Accordingly, an impairment charge would be recognized for that reporting unit in the period identified.</w:t>
      </w:r>
    </w:p>
    <w:p>
      <w:pPr>
        <w:spacing w:after="0" w:line="18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test goodwill for impairment by performing a qualitative assessment or using a two-step impairment process. If we choose to perform a qualitative assessment and determine it is more likely than not that an impairment may exist, the two-step impairment process is then performed. For operations where the two-step process is used, the identification and measurement of impairment involves the estimation of the fair value of reporting units. If the fair value is determined to be less than the carrying value, a second step is performed to determine the amount of the impairment. Accounting for impairment contains uncertainty because management must make judgments in determining appropriate assumptions to be used in the measurement of fair value. The estimates of fair value of reporting units are based on the best information available as of the date of the assessment, incorporate management assumptions about expected future cash flows and contemplate other valuation techniques. Future cash flows can be affected by changes in industry or market conditions, among other things.</w:t>
      </w:r>
    </w:p>
    <w:p>
      <w:pPr>
        <w:spacing w:after="0" w:line="219"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Given the current market conditions and continued economic uncertainty in the U.S. defense industry, including sequestration and issues surrounding the national debt ceiling and recent COVID-19 related impacts to certain of our businesses, our future revenues, profits and cash flows could be substantially lower than our current projections. Market conditions, including increased price competitiveness specifically in the government services space, and procurements awarded on an LPTA rather than a best value basis, can significantly impact our projections, which specifically resulted in an impairment of the carrying value in 2017 of our goodwill balance in our DRSS reporting unit within our KGS reportable segment. In addition, our ability to penetrate new international markets could also impact our current projections. Additional market factors could impact our projections and our ability to successfully develop new products and platforms. For example, our US reporting unit forecasts include the successful completion of certain performance criteria on new unmanned systems platforms, and acceptance of new unmanned systems platforms on a technical basis as well as from a political and government budgetary standpoint. In addition, market-based inputs to the calculations in the impairment test, such as weighted average cost of capital, and market multiples, could also be negatively impacted. Such circumstances may result in the future deterioration of the fair value of our reporting units and an impairment of our goodwill. Due to continual changes in market and general business conditions, we cannot predict whether, and to what extent, our goodwill and long-lived intangible assets may be impaired in future periods. Any resulting impairment loss could harm our profitability and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properly manage projects may result in additional costs or claims.</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Our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customers’ expectations could result in claims for substantial damages against us. Our contracts generally limit our liability for damages that arise from negligent acts, errors, mistakes or omissions in rendering services to our customers. However, we cannot be sure that these contractual provisions will protect us from liability for damages in the event we are sued. In addition, in certain instances, we guarantee customers that we will complete a project by a scheduled date. If the project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adversely affected.</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use estimates when accounting for contracts, and any changes in such estimates could have an adverse effect on our profitability and our overall financial performance.</w:t>
      </w:r>
    </w:p>
    <w:p>
      <w:pPr>
        <w:spacing w:after="0" w:line="170"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When agreeing to contractual terms, our management makes assumptions and projections about future conditions and events, many of which extend over long periods. These projections assess the productivity and availability of labor, complexity of the work to be performed, cost and availability of materials, impact of delayed performance and timing of product deliveries. Contract accounting requires judgment relative to assessing risks, estimating contract revenues and costs, and making assumptions for schedule and technical issues. Due to the size and nature of many of our contracts, the estimation of total revenues and costs at completion is complicated and subject to many variables. For example, assumptions are made regarding the length of time to complete a contract since costs also include expected increases in wages, prices for materials and allocated fixed costs. Similarly, assumptions are made regarding the future impact of our efficiency initiatives and cost reduction efforts. Incentives, awards or penalties related to performance on contracts are considered in estimating revenue and profit rates and are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ind w:right="160"/>
        <w:spacing w:after="0" w:line="277" w:lineRule="auto"/>
        <w:rPr>
          <w:sz w:val="20"/>
          <w:szCs w:val="20"/>
          <w:color w:val="auto"/>
        </w:rPr>
      </w:pPr>
      <w:r>
        <w:rPr>
          <w:rFonts w:ascii="Arial" w:cs="Arial" w:eastAsia="Arial" w:hAnsi="Arial"/>
          <w:sz w:val="18"/>
          <w:szCs w:val="18"/>
          <w:color w:val="auto"/>
        </w:rPr>
        <w:t>recorded when there is sufficient information to assess anticipated performance. Suppliers’ assertions are also assessed and considered in estimating costs and profit rates.</w:t>
      </w:r>
    </w:p>
    <w:p>
      <w:pPr>
        <w:spacing w:after="0" w:line="17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Because of the significance of the judgment and estimation processes described above, it is possible that materially different amounts could be obtained if different assumptions were used or if the underlying circumstances were to change. Changes in underlying assumptions, circumstances or estimates may have a material adverse effect upon the profitability of one or more of the affected contracts, future period financial reporting and performance.</w:t>
      </w:r>
    </w:p>
    <w:p>
      <w:pPr>
        <w:spacing w:after="0" w:line="187" w:lineRule="exact"/>
        <w:rPr>
          <w:sz w:val="20"/>
          <w:szCs w:val="20"/>
          <w:color w:val="auto"/>
        </w:rPr>
      </w:pPr>
    </w:p>
    <w:p>
      <w:pPr>
        <w:ind w:right="480"/>
        <w:spacing w:after="0" w:line="381" w:lineRule="auto"/>
        <w:rPr>
          <w:sz w:val="20"/>
          <w:szCs w:val="20"/>
          <w:color w:val="auto"/>
        </w:rPr>
      </w:pPr>
      <w:r>
        <w:rPr>
          <w:rFonts w:ascii="Arial" w:cs="Arial" w:eastAsia="Arial" w:hAnsi="Arial"/>
          <w:sz w:val="15"/>
          <w:szCs w:val="15"/>
          <w:b w:val="1"/>
          <w:bCs w:val="1"/>
          <w:i w:val="1"/>
          <w:iCs w:val="1"/>
          <w:color w:val="auto"/>
        </w:rPr>
        <w:t>Our ability to utilize our net operating loss carryforwards and certain other tax attributes may be limited. We may be required to record valuation allowances on our net operating loss carryforwards in future periods which could adversely impact our profitability and financial condition.</w:t>
      </w:r>
    </w:p>
    <w:p>
      <w:pPr>
        <w:spacing w:after="0" w:line="12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We believe we underwent an ownership change in March 2010 that limited the Company’s federal annual utilization of NOL carryforwards. If the entire limitation amount is not utilized in a year, the excess can be carried forward and utilized in future years. For the year ended December 27, 2020, there was no impact of such limitations on the income tax provision since the amount of taxable income did not exceed the cumulative annual limitation amount. In addition, future equity offerings or acquisitions that have equity as a component of the purchase price could also cause an “ownership change.” If and when any other “ownership change” occurs, utilization of the NOL or other tax attributes may be further limited.</w:t>
      </w:r>
    </w:p>
    <w:p>
      <w:pPr>
        <w:spacing w:after="0" w:line="204" w:lineRule="exact"/>
        <w:rPr>
          <w:sz w:val="20"/>
          <w:szCs w:val="20"/>
          <w:color w:val="auto"/>
        </w:rPr>
      </w:pPr>
    </w:p>
    <w:p>
      <w:pPr>
        <w:ind w:right="20" w:firstLine="648"/>
        <w:spacing w:after="0" w:line="251" w:lineRule="auto"/>
        <w:rPr>
          <w:sz w:val="20"/>
          <w:szCs w:val="20"/>
          <w:color w:val="auto"/>
        </w:rPr>
      </w:pPr>
      <w:r>
        <w:rPr>
          <w:rFonts w:ascii="Arial" w:cs="Arial" w:eastAsia="Arial" w:hAnsi="Arial"/>
          <w:sz w:val="17"/>
          <w:szCs w:val="17"/>
          <w:color w:val="auto"/>
        </w:rPr>
        <w:t>In the fourth quarter of 2020, the Company determined, based upon generation of positive income in the past several years resulting in a cumulative income position, and based upon forecasted future taxable income taking into consideration expected future permanent and temporary timing tax differences, that a significant portion (approximately $80.1 million) of the valuation allowance against the carrying value of its deferred tax assets was no longer necessary. Given the current market conditions and continued economic uncertainty in the U.S. defense industry, including sequestration and issues surrounding the national debt ceiling and recent COVID-19 related impacts to certain of our businesses, our future revenues, profits, cash flows, and taxable income could be substantially lower than our current projections. Market conditions, including increased price competitiveness specifically in the government services space, and procurements awarded on an LPTA rather than a best value basis, can significantly impact our projections. In addition, our ability to penetrate new international markets could also impact our current projections. Additional market factors could impact our projections and our ability to successfully develop new products and platforms. For example, our US reporting unit forecasts include the successful completion of certain performance criteria on new unmanned systems platforms, and acceptance of new unmanned systems platforms on a technical basis as well as from a political and government budgetary standpoint. In addition, reforms or changes to current tax regulations could impact the future utilization of our NOLs. Such circumstances may result in the expiration of our NOLs before we are able to utilize them, which could result in a requirement to record valuation allowances. Due to continual changes in market and general business conditions, we cannot predict whether, and to what extent, a valuation allowance may be required in future periods. Any resulting valuation allowances on our NOL carryforwards that are required to be recorded in future periods could adversely impact our profitability and financial condition.</w:t>
      </w:r>
    </w:p>
    <w:p>
      <w:pPr>
        <w:spacing w:after="0" w:line="214"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b w:val="1"/>
          <w:bCs w:val="1"/>
          <w:i w:val="1"/>
          <w:iCs w:val="1"/>
          <w:color w:val="auto"/>
        </w:rPr>
        <w:t>We expect to incur substantial research and development costs and devote significant resources to identifying and developing new products and services, which could significantly reduce our profitability and may never result in revenue to us.</w:t>
      </w:r>
    </w:p>
    <w:p>
      <w:pPr>
        <w:spacing w:after="0" w:line="146" w:lineRule="exact"/>
        <w:rPr>
          <w:sz w:val="20"/>
          <w:szCs w:val="20"/>
          <w:color w:val="auto"/>
        </w:rPr>
      </w:pPr>
    </w:p>
    <w:p>
      <w:pPr>
        <w:ind w:firstLine="180"/>
        <w:spacing w:after="0" w:line="291" w:lineRule="auto"/>
        <w:rPr>
          <w:sz w:val="20"/>
          <w:szCs w:val="20"/>
          <w:color w:val="auto"/>
        </w:rPr>
      </w:pPr>
      <w:r>
        <w:rPr>
          <w:rFonts w:ascii="Arial" w:cs="Arial" w:eastAsia="Arial" w:hAnsi="Arial"/>
          <w:sz w:val="16"/>
          <w:szCs w:val="16"/>
          <w:color w:val="auto"/>
        </w:rPr>
        <w:t>Our future growth depends on penetrating new markets, adapting existing products to new applications, and introducing new products and services that achieve market acceptance. We plan to incur substantial research and development costs as part of our efforts to design, develop and commercialize new products and services and enhance existing products. We spent $27.0 million, or 3.6% of our revenue, in our fiscal year ended December 27, 2020 on internally funded research and development activities. We believe that there are significant investment opportunities in a number of business areas. Because we account for research and development as an operating expense, these expenditures will adversely affect our earnings in the future. Further, our research and development programs may not produce successful results, and our new products and services may not achieve market acceptance, create additional revenue or become profitable, which could materially harm our business, prospects, financial results and liquidity.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Our operations expose us to risks associated with pandemics, epidemics or other public health emergencies, such as the outbreak of COVID-19 in many countries across the globe, including the United States.</w:t>
      </w:r>
    </w:p>
    <w:p>
      <w:pPr>
        <w:spacing w:after="0" w:line="197"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In March 2020, the World Health Organization categorized COVID-19 as a pandemic, and the President of the United States declared the COVID-19 outbreak a national emergency. The outbreak has resulted in governments around the world, including the U.S. Government and state and local governments, implementing increasingly stringent measures to help control the spread of the virus, including quarantines, “shelter in place” and “stay at home” orders, travel restrictions, business curtailments, school closures, and other measures. In addition, governments and central banks in several parts of the world have enacted fiscal and monetary stimulus measures to counteract the impacts of COVID-19.</w:t>
      </w:r>
    </w:p>
    <w:p>
      <w:pPr>
        <w:spacing w:after="0" w:line="20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are a company operating in a “critical infrastructure industry”, as defined by the U.S. Department of Homeland Security. Consistent with federal guidelines and with state and local orders to date, we currently continue to operate, including our international operations. Notwithstanding our continued operations, COVID-19 has had negative impacts on certain of our operations, our supply chain, vendors, transportation networks and customers, which have reduced certain of our sales and our margins, including as a result of preventative and precautionary measures that we, our suppliers, other businesses and governments are taking. The COVID-19 outbreak is a widespread public health crisis that is adversely affecting the economies and financial markets globally. Any resulting economic downturn could adversely affect demand for our products. The progression of this matter could also negatively impact our business or results of operations through the temporary or extended closure of our operating locations or those of our customers or suppliers.</w:t>
      </w:r>
    </w:p>
    <w:p>
      <w:pPr>
        <w:spacing w:after="0" w:line="193" w:lineRule="exact"/>
        <w:rPr>
          <w:sz w:val="20"/>
          <w:szCs w:val="20"/>
          <w:color w:val="auto"/>
        </w:rPr>
      </w:pPr>
    </w:p>
    <w:p>
      <w:pPr>
        <w:ind w:right="260" w:firstLine="648"/>
        <w:spacing w:after="0" w:line="275" w:lineRule="auto"/>
        <w:rPr>
          <w:sz w:val="20"/>
          <w:szCs w:val="20"/>
          <w:color w:val="auto"/>
        </w:rPr>
      </w:pPr>
      <w:r>
        <w:rPr>
          <w:rFonts w:ascii="Arial" w:cs="Arial" w:eastAsia="Arial" w:hAnsi="Arial"/>
          <w:sz w:val="17"/>
          <w:szCs w:val="17"/>
          <w:color w:val="auto"/>
        </w:rPr>
        <w:t>The ability of our employees, our suppliers’ employees and our customers’ employees to work may be significantly impacted by individuals contracting or being exposed to COVID-19, or as a result of the control measures noted above, which may significantly hamper our production and operations, including throughout the supply chain. In addition to the $900 billion in stimulus relief for the COVID-19 pandemic included in the current spending bill, on March 27, 2020, the CARES Act, a $2 trillion economic relief bill was signed into law. We are continuing to evaluate the impact of the CARES Act including related stimulus and economic relief actions on our business.</w:t>
      </w:r>
    </w:p>
    <w:p>
      <w:pPr>
        <w:spacing w:after="0" w:line="203"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Since the end of our first quarter, COVID-19 has continued to impact our customers, markets and operations, including supply chain disruptions, delays of certain supplier deliveries, difficulties gaining access to certain locations, difficulties gaining access to customers, and decreased demand requirements of certain of our commercial aero, power and satcom customers. Importantly, COVID-19 customer and contractor-related travel and social distancing restrictions have delayed a number of our target drone, tactical drone and rocket system programs, missions and exercises. The extent to which COVID-19 may further impact our business depends on future developments, which are highly uncertain and unpredictable, including new information concerning the severity of the outbreak and the effectiveness of actions globally to contain or mitigate its effects. While we currently do not expect this matter to have a material impact on our results of operations, cash flows and financial position, the current level of uncertainty over the economic, business and operational impacts of COVID-19 means the related financial impact cannot be reasonably estimated at this time.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to fund the growth of our business, and financing may not be available on favorable terms or at all.</w:t>
      </w:r>
    </w:p>
    <w:p>
      <w:pPr>
        <w:spacing w:after="0" w:line="25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currently anticipate that our available capital resources, including the cash we raised in our recent equity offerings, the net proceeds from the divestiture of our PSS business, amounts available under our Credit Agreement and operating cash flow will be sufficient to meet our expected working capital and capital expenditure requirements for at least the next 12 months. However, these resources may not be sufficient to fund the long-term growth of our business, especially in the event that we are awarded future multiple sizable production awards related to our tactical drone programs which require significant amounts of working capital to fund such growth. If we determine that it is necessary to raise additional funds, either through an expansion or refinancing of our Credit Agreement or through public or private debt offerings or additional equity financings, additional financing may not be available on terms favorable to us, or at all. Disruptions in the capital and credit markets could adversely affect our ability to access these markets. Limitations on our borrowing base contained in our Credit Agreement may limit our access to capital, and we could fall out of compliance with financial and other covenants contained in our Credit Agreement which, if not waived, would restrict our access to capital and could require us to pay down any then-existing debt under the Credit Agreement. Our lenders may not agree to extend additional or continuing credit under our Credit Agreement or waive restrictions on our access to capital. If adequate funds are not available or are not available on acceptable terms, we may not be able to take advantage of available opportunities, develop new products or otherwise respond to competitive pressures and our business, operating results or financial condition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ind w:right="2580"/>
        <w:spacing w:after="0" w:line="277" w:lineRule="auto"/>
        <w:rPr>
          <w:sz w:val="20"/>
          <w:szCs w:val="20"/>
          <w:color w:val="auto"/>
        </w:rPr>
      </w:pPr>
      <w:r>
        <w:rPr>
          <w:rFonts w:ascii="Arial" w:cs="Arial" w:eastAsia="Arial" w:hAnsi="Arial"/>
          <w:sz w:val="18"/>
          <w:szCs w:val="18"/>
          <w:b w:val="1"/>
          <w:bCs w:val="1"/>
          <w:i w:val="1"/>
          <w:iCs w:val="1"/>
          <w:color w:val="auto"/>
        </w:rPr>
        <w:t>Our cash may be subject to a risk of loss and we may be exposed to fluctuations in the market values of our portfolio investments and in interest rates.</w:t>
      </w:r>
    </w:p>
    <w:p>
      <w:pPr>
        <w:spacing w:after="0" w:line="19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assets include a significant amount of cash and investments. We adhere to an investment policy set by our board of directors which aims to preserve our financial assets, maintain adequate liquidity and maximize returns. We believe that our cash is held in institutions whose credit risk is minimal and that the value and liquidity of our deposits are accurately reflected in our Consolidated Financial Statements as of December 27, 2020. We currently invest the majority of our cash in institutional U.S. money market funds, institutional U.S. treasury money market funds, U.S. treasuries, and U.S. government agency securities, the performance of which are subject to additional market risks related to their respective issuers. Nearly all of our cash and bank deposits are not insured by the Federal Deposit Insurance Corporation. Therefore, our cash and any bank deposits that we now hold or may acquire in the future may be subject to risks, including the risk of loss or of reduced value or liquidity. In the future, should we determine that there is a decline in value of any of our portfolio securities which is not temporary in nature, this would result in a loss being recognized in our Consolidated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acquisitions and future acquisitions could prove difficult to integrate, disrupt our business, dilute stockholder value and strain our resources.</w:t>
      </w:r>
    </w:p>
    <w:p>
      <w:pPr>
        <w:spacing w:after="0" w:line="27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have in the past and may, in the future, acquire additional businesses that we believe could complement or expand our business or increase our customer base. Whether we realize the anticipated benefits from these acquisitions and related activities depends, in part, upon our ability to integrate the operations of the acquired business, the performance of the underlying product and service portfolio, and the performance of the management team and other personnel of the acquired operations. Integrating the operations of acquired businesses successfully or otherwise realizing any of the anticipated benefits of acquisitions, including anticipated cost savings and additional revenue opportunities, involves a number of potential challenges. The failure to meet these integration challenges could seriously harm our financial condition and results of operations. Realizing the benefits of acquisitions depends in part on the integration of operations and personnel. These integration activities are complex and time-consuming, and we may encounter unexpected difficulties or incur unexpected costs, including:</w:t>
      </w:r>
    </w:p>
    <w:p>
      <w:pPr>
        <w:spacing w:after="0" w:line="205" w:lineRule="exact"/>
        <w:rPr>
          <w:sz w:val="20"/>
          <w:szCs w:val="20"/>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achieve the operating synergies anticipated in the acquisitions;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 attention from ongoing business concerns to integration matters;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consolidating and rationalizing IT platforms and administrative infrastructures;</w:t>
      </w:r>
    </w:p>
    <w:p>
      <w:pPr>
        <w:spacing w:after="0" w:line="9" w:lineRule="exact"/>
        <w:rPr>
          <w:rFonts w:ascii="Arial" w:cs="Arial" w:eastAsia="Arial" w:hAnsi="Arial"/>
          <w:sz w:val="18"/>
          <w:szCs w:val="18"/>
          <w:color w:val="auto"/>
        </w:rPr>
      </w:pPr>
    </w:p>
    <w:p>
      <w:pPr>
        <w:ind w:left="1300" w:right="560" w:hanging="320"/>
        <w:spacing w:after="0" w:line="250"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complexities associated with managing the geographic separation of the combined businesses and consolidating multiple physical locations where management may determine consolidation is desirable;</w:t>
      </w:r>
    </w:p>
    <w:p>
      <w:pPr>
        <w:ind w:left="1300" w:right="500" w:hanging="320"/>
        <w:spacing w:after="0" w:line="250"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integrating personnel from different corporate cultures while maintaining focus on providing consistent, high quality customer service;</w:t>
      </w: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or delays in transitioning U.S. Government contracts pursuant to federal acquisition regulations;</w:t>
      </w:r>
    </w:p>
    <w:p>
      <w:pPr>
        <w:spacing w:after="0" w:line="9" w:lineRule="exact"/>
        <w:rPr>
          <w:rFonts w:ascii="Arial" w:cs="Arial" w:eastAsia="Arial" w:hAnsi="Arial"/>
          <w:sz w:val="18"/>
          <w:szCs w:val="18"/>
          <w:color w:val="auto"/>
        </w:rPr>
      </w:pPr>
    </w:p>
    <w:p>
      <w:pPr>
        <w:ind w:left="1300" w:right="40" w:hanging="320"/>
        <w:spacing w:after="0" w:line="250"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in demonstrating to customers of Kratos and to customers of acquired businesses that the acquisition will not result in adverse changes in customer service standards or business focus;</w:t>
      </w: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possible cash flow interruption or loss of revenue as a result of change of ownership transitional matters;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23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Acquired businesses may have liabilities or adverse operating issues that we fail to discover through due diligence prior to the acquisition, including cyber and other security vulnerabilities. In particular, to the extent that prior owners of any acquired businesses or properties failed to comply with or otherwise violated applicable laws or regulations, or failed to fulfill their contractual obligations to the U.S. Government or other customers, we, as the successor owner, may be financially responsible for these violations and failures and may suffer reputational harm or otherwise be adversely affected. Acquisitions also frequently result in the recording of goodwill and other intangible assets that are subject to potential impairment in the future that could harm our financial results. In addition, if we finance acquisitions by issuing debt or equity securities, our existing stockholders may be diluted, which could affect the market price of our stock. Acquisitions and/or the related equity financings could also impact our ability to utilize our NOL carryforwards. As a result, if we fail to properly evaluate acquisitions or investments, we may not achieve the anticipated benefits of any such acquisitions, and we may incur costs in excess of what we anticipate. Acquisitions frequently involve benefits related to integration of operations. The failure to successfully integrate the operations or to otherwise realize any of the anticipated benefits of the acquisition could seriously harm our financial condition and results of operations. While we believe that we have established appropriate and adequate procedures and processes to mitigate these risks, there is no assurance that these transactions will be successful.</w:t>
      </w:r>
    </w:p>
    <w:p>
      <w:pPr>
        <w:spacing w:after="0" w:line="179" w:lineRule="exact"/>
        <w:rPr>
          <w:sz w:val="20"/>
          <w:szCs w:val="20"/>
          <w:color w:val="auto"/>
        </w:rPr>
      </w:pPr>
    </w:p>
    <w:p>
      <w:pPr>
        <w:jc w:val="both"/>
        <w:ind w:right="420" w:firstLine="648"/>
        <w:spacing w:after="0" w:line="263" w:lineRule="auto"/>
        <w:rPr>
          <w:sz w:val="20"/>
          <w:szCs w:val="20"/>
          <w:color w:val="auto"/>
        </w:rPr>
      </w:pPr>
      <w:r>
        <w:rPr>
          <w:rFonts w:ascii="Arial" w:cs="Arial" w:eastAsia="Arial" w:hAnsi="Arial"/>
          <w:sz w:val="18"/>
          <w:szCs w:val="18"/>
          <w:color w:val="auto"/>
        </w:rPr>
        <w:t>We also evaluate from time to time the potential disposition of assets or business that may no longer meet our growth, return and/or strategic objectives. Divestitures have inherent risks, including the possibility that any anticipated sale will be delayed or will not occur, the potential failure to realize the perceived strategic or financial merits of the divestment, difficulties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30" w:name="page31"/>
    <w:bookmarkEnd w:id="30"/>
    <w:p>
      <w:pPr>
        <w:spacing w:after="0" w:line="259" w:lineRule="auto"/>
        <w:rPr>
          <w:sz w:val="20"/>
          <w:szCs w:val="20"/>
          <w:color w:val="auto"/>
        </w:rPr>
      </w:pPr>
      <w:r>
        <w:rPr>
          <w:rFonts w:ascii="Arial" w:cs="Arial" w:eastAsia="Arial" w:hAnsi="Arial"/>
          <w:sz w:val="18"/>
          <w:szCs w:val="18"/>
          <w:color w:val="auto"/>
        </w:rPr>
        <w:t>in the separation of operations, services, information technology, products and personnel, unexpected costs associated with such separation, diversion of management’s attention from other business concerns and potential post-closing claims for alleged breaches of related agreements, indemnification or other disputes. A failure to successfully complete a disposition or to otherwise realize any of the anticipated benefits of a disposition could seriously harm our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our business and financial results could suffer.</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Sustaining our growth has placed significant demands on our management, as well as on our administrative, operational and financial resources. For us to continue to manage our growth, we must continue to improve our operational, financial and management information systems and expand, motivate and manage our workforce. Additionally, our future financial results depend in part on our ability to profitably manage our growth on a combined basis with the businesses we have acquired and those we may acquire in the future. If we are unable to manage our growth while maintaining our quality of service and profit margins, or if new systems that we implement to assist in managing our growth do not produce the expected benefits, our business, prospects, financial condition or operating results could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invest in new information technology systems and infrastructure to scale our operations.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may need to adopt new information technology systems and infrastructure to scale our business and obtain the synergies from prior and future acquisitions. Our information technology and business systems and infrastructure could create product development or production work stoppages, unnecessarily increase our inventory, negatively impact product delivery times and quality, and increase our compliance costs. Failure to invest in newer information technology and business systems and infrastructure may lead to operational inefficiencies and increased compliance costs and risks. In addition, an inability to maximize the utility and benefit of our current information technology and business tools could impact our ability to meet cost reduction and planned efficiency and operational improvement goals.</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loss of any member of our senior management could impair our relationships with U.S. Government customers and disrupt the management of our business.</w:t>
      </w:r>
    </w:p>
    <w:p>
      <w:pPr>
        <w:spacing w:after="0" w:line="170"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We believe that the success of our business and our ability to operate profitably depends on the continued contributions of the members of our senior management. We rely on our senior management to generate business and execute programs successfully. In addition, the relationships and reputation that many members of our senior management team have established and maintain with U.S. Government personnel contribute to our ability to maintain strong customer relationships and to identify new business opportunities. The loss of any member of our senior management could impair our ability to identify and secure new contracts, to maintain good customer relations and to otherwise manage our business.</w:t>
      </w:r>
    </w:p>
    <w:p>
      <w:pPr>
        <w:spacing w:after="0" w:line="16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attract and retain skilled employees or employees with the necessary national security clearances, we might not be able to perform under our contracts or win new business.</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growth of our business and revenue depends in large part upon our ability to attract and retain sufficient numbers of highly qualified individuals who have advanced technical and/or engineering skills. These employees are in great demand and are likely to remain a limited resource in the foreseeable future. In addition, certain U.S. Government contracts require us, and some of our employees, to maintain national security clearances. Obtaining and maintaining national security clearances for employees involves a lengthy process, and it is difficult to identify, recruit and retain employees who already hold national security clearances. Further, some of our contracts contain provisions requiring us to staff an engagement with personnel that the customer considers key to our successful performance under the contract. In the event we are unable to provide these key personnel or acceptable substitutions, the customer may terminate the contract. As a result, if we are unable to recruit and retain a sufficient number of qualified employees, we may lose revenue and our ability to maintain and grow our business could be limited.</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Moreover, in a tight labor market our direct labor costs could increase or we may be required to engage large numbers of subcontractor personnel, which could cause our profit margins to suffer.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1" w:name="page32"/>
    <w:bookmarkEnd w:id="31"/>
    <w:p>
      <w:pPr>
        <w:ind w:right="580"/>
        <w:spacing w:after="0" w:line="277" w:lineRule="auto"/>
        <w:rPr>
          <w:sz w:val="20"/>
          <w:szCs w:val="20"/>
          <w:color w:val="auto"/>
        </w:rPr>
      </w:pPr>
      <w:r>
        <w:rPr>
          <w:rFonts w:ascii="Arial" w:cs="Arial" w:eastAsia="Arial" w:hAnsi="Arial"/>
          <w:sz w:val="18"/>
          <w:szCs w:val="18"/>
          <w:b w:val="1"/>
          <w:bCs w:val="1"/>
          <w:i w:val="1"/>
          <w:iCs w:val="1"/>
          <w:color w:val="auto"/>
        </w:rPr>
        <w:t>We are subject to the requirements of the National Industrial Security Program Operating Manual for our facility security clearance, which is a prerequisite to our ability to perform on classified contracts for the U.S. Government.</w:t>
      </w:r>
    </w:p>
    <w:p>
      <w:pPr>
        <w:spacing w:after="0" w:line="130" w:lineRule="exact"/>
        <w:rPr>
          <w:sz w:val="20"/>
          <w:szCs w:val="20"/>
          <w:color w:val="auto"/>
        </w:rPr>
      </w:pPr>
    </w:p>
    <w:p>
      <w:pPr>
        <w:ind w:right="560" w:firstLine="648"/>
        <w:spacing w:after="0" w:line="259" w:lineRule="auto"/>
        <w:rPr>
          <w:sz w:val="20"/>
          <w:szCs w:val="20"/>
          <w:color w:val="auto"/>
        </w:rPr>
      </w:pPr>
      <w:r>
        <w:rPr>
          <w:rFonts w:ascii="Arial" w:cs="Arial" w:eastAsia="Arial" w:hAnsi="Arial"/>
          <w:sz w:val="18"/>
          <w:szCs w:val="18"/>
          <w:color w:val="auto"/>
        </w:rPr>
        <w:t>A facility security clearance is required for a company to perform on classified contracts for the DoD and certain other agencies of the U.S. Government. Security clearances are subject to regulations and requirements including the National Industrial Security Program Operating Manual (“NISPOM”), which specifies the requirements for the protection of classified information released or disclosed in connection with classified U.S. Government contracts.</w:t>
      </w:r>
    </w:p>
    <w:p>
      <w:pPr>
        <w:spacing w:after="0" w:line="16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require certain facility and personnel security clearances to perform our classified U.S. Government related business. As such, we must comply with the requirements of the NISPOM and any other applicable U.S. Government industrial security regulations. If we were to violate the terms and requirements of the NISPOM or any other applicable U.S. Government industrial security regulations (which apply to us under the terms of classified contracts), any of our cleared facilities could lose its facility security clearance. We cannot be certain that we will be able to maintain our facility security clearances. If for some reason one or more of our facility security clearances is invalidated or terminated, we would not be able to continue to perform on classified contracts at that facility and would not be able to enter into new classified contracts, which could adversely affect our revenues. Failure to comply with the NISPOM or other security requirements may subject us to civil or criminal penalties, loss of access to classified information, loss of a U.S. Government contract, or potentially debarment as a government contractor.</w:t>
      </w:r>
    </w:p>
    <w:p>
      <w:pPr>
        <w:spacing w:after="0" w:line="1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will be subject to the new DoD CMMC requirement recently issued by the Pentagon which may limit our ability to bid and win projects. The cost for the new CMMC requirement may be significant.</w:t>
      </w:r>
    </w:p>
    <w:p>
      <w:pPr>
        <w:spacing w:after="0" w:line="130"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Pentagon, on January 31, 2020, released the official version of its unified Cybersecurity standard that all contractors must meet by 2026. This standard, the CMMC, will apply to any company that does business with the Department of Defense. CMMC will also apply to subcontractors as well as prime contractors. The DoD has stated that it expects a roll-out of this requirement over a five-year timeline. CMMC borrows heavily from the existing NIST Cybersecurity Framework, and intends to rely heavily on a CMMC accrediting body. The DoD is currently drafting a memorandum of understanding to establish rules, roles and responsibilities between it and the accrediting body. Once up and running, companies will be able to apply for certification through a portal run by the accrediting body. The CMMC certification will be good for three years; with it, companies will be able to bid on contracts across the DoD and military services. There will be five levels of certification, Level 1 through Level 5. The new certification will not be required for existing contracts already signed, only on new contracts. In December 2020, the DoD disclosed the first seven contracts that are likely to be the initial test cases for the first “pathfinder” solicitations mandating CMMC. It is expected to take until 2026 to bring all contractors into compliance, since five years is the typical duration of a government contract. Contractors are required to flow the CMMC requirements down to all subcontracts except those for Commercial Off the Shelf (COTS) items. Additionally, a contractor may not award a subcontract unless the subcontractor has a current assessment in the Supplier Performance Risk System (SPRS). Because contractors only have access to their own information, contractors may need to rely on certifications from subcontractors for this requirement.</w:t>
      </w:r>
    </w:p>
    <w:p>
      <w:pPr>
        <w:spacing w:after="0" w:line="186"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Under CMMC, contractors will no longer “self-attest” they meet a given standard. Instead, Pentagon approved third parties will assess each company, at the company’s expense. There will be no fines for non-compliance, however contractors will not be able to be awarded new contracts that require a particular level of certification without the required certification.</w:t>
      </w:r>
    </w:p>
    <w:p>
      <w:pPr>
        <w:spacing w:after="0" w:line="184"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may be unable to bid on new contract awards or on follow-on awards for existing work, depending on the level of standard as required for each solicitation, which could adversely impact our revenues, operating margins and cash flows. The cost to comply with the new CMMC requirement may be significant. Further, we may be negatively impacted by our subcontractors if they are not compliant with these requirements.</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be unable to realize any benefit from our cost reduction and restructuring efforts and our profitability may be hurt or our business otherwise might be adversely affected.</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have engaged in cost reduction and restructuring activities in the past, including recent restructuring actions in our modular systems business and our divestiture of the Public Safety &amp; Security business, and we may engage in other cost reduction restructuring activities in the future. These types of cost reduction and restructuring activities are complex. If we do not successfully manage our current cost reduction and restructuring activities, or any other cost reduction and restructuring activities that we may take in the future, any expected efficiencies and benefits might be delayed or not realized, and our operations and business could be disrupted. In addition, the costs associated with implementing cost reduction and restructuring activities might exceed expectations, which could result in additional future charges.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Our operations expose us to the risk of material environmental liabilities.</w:t>
      </w:r>
    </w:p>
    <w:p>
      <w:pPr>
        <w:spacing w:after="0" w:line="225" w:lineRule="exact"/>
        <w:rPr>
          <w:sz w:val="20"/>
          <w:szCs w:val="20"/>
          <w:color w:val="auto"/>
        </w:rPr>
      </w:pPr>
    </w:p>
    <w:p>
      <w:pPr>
        <w:ind w:right="20" w:firstLine="177"/>
        <w:spacing w:after="0" w:line="291" w:lineRule="auto"/>
        <w:rPr>
          <w:sz w:val="20"/>
          <w:szCs w:val="20"/>
          <w:color w:val="auto"/>
        </w:rPr>
      </w:pPr>
      <w:r>
        <w:rPr>
          <w:rFonts w:ascii="Arial" w:cs="Arial" w:eastAsia="Arial" w:hAnsi="Arial"/>
          <w:sz w:val="16"/>
          <w:szCs w:val="16"/>
          <w:color w:val="auto"/>
        </w:rPr>
        <w:t>We are subject to various U.S. federal, state, local and non-U.S. laws and regulations related to environmental protection, including the discharge, treatment, storage, disposal and remediation of hazardous substances and wastes. We could incur substantial costs, including cleanup costs, fines and civil or criminal sanctions, as well as third-party claims for property damage or personal injury, if we were to violate or become liable under environmental laws or regulations. In some cases, we may be subject to such costs due to environmental impacts attributable to our current or past manufacturing operations or the operations of companies we have acquired. In other cases, we may become subject to such costs due to an indemnification agreement between us and a third party relating to such environmental liabilities. In addition, new laws and regulations, more stringent enforcement of existing laws and regulations, the discovery of previously unknown contamination or the imposition of new remediation requirements could result in additional costs.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derived from our international business could be subject to global economic downturn and hardship.</w:t>
      </w:r>
    </w:p>
    <w:p>
      <w:pPr>
        <w:spacing w:after="0" w:line="252"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Our international business represents 19% of our total revenue for the year ended December 27, 2020, which may be impacted by changes in foreign national priorities and government budgets and may be further impacted by global economic conditions and fluctuations in foreign currency exchange rates. Continued international economic uncertainty and reductions in consumer spending may result in reductions in our revenue. In particular, recent events have caused increased attention on U.S. defense sales to the Kingdom of Saudi Arabia (“KSA”). Although we currently do not expect to be prevented from doing business in KSA, which currently represents nearly 5% of our sales (which are through FMS), if government action impairs our ability to fulfill our contractual obligations or otherwise to continue to do business in KSA, it could have an adverse effect on our financial results.</w:t>
      </w:r>
    </w:p>
    <w:p>
      <w:pPr>
        <w:spacing w:after="0" w:line="191"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Additionally, disruptions in international credit markets may materially limit consumer credit availability and restrict credit availability of our customers. Any reduction in international sales of our solutions resulting from reductions in consumer spending or continued disruption in the availability of credit to retailers or consumers, could materially and adversely affect our business, results of operations and financial condition.</w:t>
      </w:r>
    </w:p>
    <w:p>
      <w:pPr>
        <w:spacing w:after="0"/>
        <w:rPr>
          <w:sz w:val="20"/>
          <w:szCs w:val="20"/>
          <w:color w:val="auto"/>
        </w:rPr>
      </w:pPr>
      <w:r>
        <w:rPr>
          <w:rFonts w:ascii="Arial" w:cs="Arial" w:eastAsia="Arial" w:hAnsi="Arial"/>
          <w:sz w:val="18"/>
          <w:szCs w:val="18"/>
          <w:b w:val="1"/>
          <w:bCs w:val="1"/>
          <w:i w:val="1"/>
          <w:iCs w:val="1"/>
          <w:color w:val="auto"/>
        </w:rPr>
        <w:t>Our international business exposes us to additional risks.</w:t>
      </w:r>
    </w:p>
    <w:p>
      <w:pPr>
        <w:spacing w:after="0" w:line="211" w:lineRule="exact"/>
        <w:rPr>
          <w:sz w:val="20"/>
          <w:szCs w:val="20"/>
          <w:color w:val="auto"/>
        </w:rPr>
      </w:pPr>
    </w:p>
    <w:p>
      <w:pPr>
        <w:ind w:firstLine="207"/>
        <w:spacing w:after="0" w:line="277" w:lineRule="auto"/>
        <w:rPr>
          <w:sz w:val="20"/>
          <w:szCs w:val="20"/>
          <w:color w:val="auto"/>
        </w:rPr>
      </w:pPr>
      <w:r>
        <w:rPr>
          <w:rFonts w:ascii="Arial" w:cs="Arial" w:eastAsia="Arial" w:hAnsi="Arial"/>
          <w:sz w:val="18"/>
          <w:szCs w:val="18"/>
          <w:color w:val="auto"/>
        </w:rPr>
        <w:t>Our operations outside of the U.S. are subject to risks that are inherent in conducting business under non-U.S. laws, regulations and customs, including those related to:</w:t>
      </w:r>
    </w:p>
    <w:p>
      <w:pPr>
        <w:spacing w:after="0" w:line="305" w:lineRule="exact"/>
        <w:rPr>
          <w:sz w:val="20"/>
          <w:szCs w:val="20"/>
          <w:color w:val="auto"/>
        </w:rPr>
      </w:pPr>
    </w:p>
    <w:p>
      <w:pPr>
        <w:ind w:left="1300" w:right="40" w:hanging="320"/>
        <w:spacing w:after="0" w:line="251"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currency exchange rate fluctuations, potentially reducing the U.S. dollars we receive for sales denominated in foreign currency or reducing our profits when we pay for materials, subcontractors and payroll denominated in foreign currency ;</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possibility that unfriendly nations or groups could boycott our solutions;</w:t>
      </w:r>
    </w:p>
    <w:p>
      <w:pPr>
        <w:spacing w:after="0" w:line="7"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conditions in the markets in which we operate;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increased costs associated with overlapping tax structures;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import-export control;</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obtain required U.S. Government agency issued export licenses to ship our product overseas;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more limited protection for intellectual property rights in some countries;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and costs associated with staffing and managing foreign operations;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difficulties of compliance with a wide variety of foreign laws and regulations;</w:t>
      </w:r>
    </w:p>
    <w:p>
      <w:pPr>
        <w:spacing w:after="0" w:line="9" w:lineRule="exact"/>
        <w:rPr>
          <w:rFonts w:ascii="Arial" w:cs="Arial" w:eastAsia="Arial" w:hAnsi="Arial"/>
          <w:sz w:val="18"/>
          <w:szCs w:val="18"/>
          <w:color w:val="auto"/>
        </w:rPr>
      </w:pPr>
    </w:p>
    <w:p>
      <w:pPr>
        <w:ind w:left="1300" w:right="420" w:hanging="320"/>
        <w:spacing w:after="0" w:line="250"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longer accounts receivable cycles in certain foreign countries, whether due to cultural differences, exchange rate fluctuation or other factors;</w:t>
      </w: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technology and data transfer restrictions;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to our distribution networks;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employees; and</w:t>
      </w:r>
    </w:p>
    <w:p>
      <w:pPr>
        <w:spacing w:after="0" w:line="9" w:lineRule="exact"/>
        <w:rPr>
          <w:rFonts w:ascii="Arial" w:cs="Arial" w:eastAsia="Arial" w:hAnsi="Arial"/>
          <w:sz w:val="18"/>
          <w:szCs w:val="18"/>
          <w:color w:val="auto"/>
        </w:rPr>
      </w:pPr>
    </w:p>
    <w:p>
      <w:pPr>
        <w:ind w:left="1300" w:right="420" w:hanging="320"/>
        <w:spacing w:after="0" w:line="260"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war and terrorist events, including impacts to our international operations such as Microwave Electronics, which is headquartered in Israel.</w:t>
      </w:r>
    </w:p>
    <w:p>
      <w:pPr>
        <w:spacing w:after="0" w:line="212" w:lineRule="exact"/>
        <w:rPr>
          <w:sz w:val="20"/>
          <w:szCs w:val="20"/>
          <w:color w:val="auto"/>
        </w:rPr>
      </w:pPr>
    </w:p>
    <w:p>
      <w:pPr>
        <w:ind w:left="80" w:right="200" w:firstLine="648"/>
        <w:spacing w:after="0" w:line="259" w:lineRule="auto"/>
        <w:rPr>
          <w:sz w:val="20"/>
          <w:szCs w:val="20"/>
          <w:color w:val="auto"/>
        </w:rPr>
      </w:pPr>
      <w:r>
        <w:rPr>
          <w:rFonts w:ascii="Arial" w:cs="Arial" w:eastAsia="Arial" w:hAnsi="Arial"/>
          <w:sz w:val="18"/>
          <w:szCs w:val="18"/>
          <w:color w:val="auto"/>
        </w:rPr>
        <w:t>These risks, individually or in the aggregate, could have an adverse effect on our results of operations and financial condition. For example, we are subject to compliance with the Foreign Corrupt Practices Act and similar anti-bribery laws, which generally prohibit companies and their intermediaries from making improper payments to foreign government officials for the purpose of obtaining or retaining business. While our employees and agents are required to comply with these laws, we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ind w:left="80" w:right="100"/>
        <w:spacing w:after="0" w:line="290" w:lineRule="auto"/>
        <w:rPr>
          <w:sz w:val="20"/>
          <w:szCs w:val="20"/>
          <w:color w:val="auto"/>
        </w:rPr>
      </w:pPr>
      <w:r>
        <w:rPr>
          <w:rFonts w:ascii="Arial" w:cs="Arial" w:eastAsia="Arial" w:hAnsi="Arial"/>
          <w:sz w:val="16"/>
          <w:szCs w:val="16"/>
          <w:color w:val="auto"/>
        </w:rPr>
        <w:t>cannot be sure that our internal policies and procedures will always protect us from violations of these laws, despite our commitment to legal compliance and corporate ethics. The occurrence or allegation of these types of risks may adversely affect our business, performance, prospects, value, financial condition, and results of operations. In addition, our international contracts may include industrial cooperation agreements requiring specific in-country purchases, investments, manufacturing agreements or other financial obligations, known as offset obligations, and provide for penalties if we fail to meet such requirements. In addition, due to the nature of our products, we must obtain licenses and authorizations from various U.S. Government agencies before selling our products outside of the U.S. Our ability to obtain these licenses and authorizations timely or at all is subject to risks and uncertainties, including changing U.S. Government policies or laws or delays in Congressional action due to geopolitical and other factors. The impact of these factors is difficult to predict, but one or more of them could adversely affect our financial position, results of operations, or cash flows.</w:t>
      </w:r>
    </w:p>
    <w:p>
      <w:pPr>
        <w:spacing w:after="0" w:line="19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Violations of the International Traffic in Arms Regulations (“ITAR”) or other applicable trade compliance regulations could result in significant sanctions including fines, more onerous compliance requirements and debarments from export privileges or loss of authorizations needed to conduct aspects of our international business. A violation of ITAR or other applicable trade regulations could have a material adverse effect on our business, financial condition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Long-Term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substantial long-term borrowings, which could adversely affect our cash flow, financial condition and business.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of December 27, 2020, we had approximately $301.5 million of long-term borrowings outstanding, which is net of $4.1 million of unamortized debt issuance costs. As a result of this indebtedness, our interest payment obligations are significant. The degree to which we are leveraged could have adverse effects on our business, including the following:</w:t>
      </w:r>
    </w:p>
    <w:p>
      <w:pPr>
        <w:spacing w:after="0" w:line="184"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may limit our flexibility in planning for, or reacting to, changes in our business and the industries in which we operate;</w:t>
      </w:r>
    </w:p>
    <w:p>
      <w:pPr>
        <w:spacing w:after="0" w:line="23" w:lineRule="exact"/>
        <w:rPr>
          <w:rFonts w:ascii="Arial" w:cs="Arial" w:eastAsia="Arial" w:hAnsi="Arial"/>
          <w:sz w:val="18"/>
          <w:szCs w:val="18"/>
          <w:color w:val="auto"/>
        </w:rPr>
      </w:pPr>
    </w:p>
    <w:p>
      <w:pPr>
        <w:ind w:left="1300" w:hanging="320"/>
        <w:spacing w:after="0" w:line="265" w:lineRule="auto"/>
        <w:tabs>
          <w:tab w:leader="none" w:pos="1295" w:val="left"/>
        </w:tabs>
        <w:numPr>
          <w:ilvl w:val="0"/>
          <w:numId w:val="23"/>
        </w:numPr>
        <w:rPr>
          <w:rFonts w:ascii="Arial" w:cs="Arial" w:eastAsia="Arial" w:hAnsi="Arial"/>
          <w:sz w:val="17"/>
          <w:szCs w:val="17"/>
          <w:color w:val="auto"/>
        </w:rPr>
      </w:pPr>
      <w:r>
        <w:rPr>
          <w:rFonts w:ascii="Arial" w:cs="Arial" w:eastAsia="Arial" w:hAnsi="Arial"/>
          <w:sz w:val="17"/>
          <w:szCs w:val="17"/>
          <w:color w:val="auto"/>
        </w:rPr>
        <w:t>it may require us to dedicate a substantial portion of our cash flow from operations to payments on our indebtedness, thereby reducing the availability of our cash flow to fund working capital, capital expenditures and other general corporate purposes;</w:t>
      </w: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may restrict us from making strategic acquisitions or exploiting business opportunities;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may place us at a competitive disadvantage compared to our competitors that have less debt;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may limit our ability to borrow additional funds;</w:t>
      </w:r>
    </w:p>
    <w:p>
      <w:pPr>
        <w:spacing w:after="0" w:line="9" w:lineRule="exact"/>
        <w:rPr>
          <w:rFonts w:ascii="Arial" w:cs="Arial" w:eastAsia="Arial" w:hAnsi="Arial"/>
          <w:sz w:val="18"/>
          <w:szCs w:val="18"/>
          <w:color w:val="auto"/>
        </w:rPr>
      </w:pPr>
    </w:p>
    <w:p>
      <w:pPr>
        <w:ind w:left="1300" w:right="60" w:hanging="320"/>
        <w:spacing w:after="0" w:line="250"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may prevent us from raising the funds necessary to repurchase our outstanding 6.5% Notes (as defined below) tendered to us if there is a change of control, which would constitute a default under the Indenture (as defined below) governing our 6.5% Notes and under our Credit Agreement; and</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may decrease our ability to compete effectively or operate successfully under adverse economic and industry conditions.</w:t>
      </w:r>
    </w:p>
    <w:p>
      <w:pPr>
        <w:spacing w:after="0" w:line="23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level of long-term borrowings increases the risk that we may default on our debt obligations. We may be unable to generate sufficient cash flow to pay the interest on our debt. If we are unable to service our indebtedness, we will be forced to adopt an alternative strategy that may include actions such as reducing capital expenditures, reducing internal investments in research and development efforts, selling assets, restructuring or refinancing our indebtedness or seeking additional equity capital. These alternative strategies may not be affected on satisfactory terms, if at all, and they may not yield sufficient funds to make required payments on our indebtedness.</w:t>
      </w:r>
    </w:p>
    <w:p>
      <w:pPr>
        <w:spacing w:after="0" w:line="188" w:lineRule="exact"/>
        <w:rPr>
          <w:sz w:val="20"/>
          <w:szCs w:val="20"/>
          <w:color w:val="auto"/>
        </w:rPr>
      </w:pPr>
    </w:p>
    <w:p>
      <w:pPr>
        <w:ind w:right="100" w:firstLine="648"/>
        <w:spacing w:after="0" w:line="218" w:lineRule="exact"/>
        <w:rPr>
          <w:sz w:val="20"/>
          <w:szCs w:val="20"/>
          <w:color w:val="auto"/>
        </w:rPr>
      </w:pPr>
      <w:r>
        <w:rPr>
          <w:rFonts w:ascii="Arial" w:cs="Arial" w:eastAsia="Arial" w:hAnsi="Arial"/>
          <w:sz w:val="16"/>
          <w:szCs w:val="16"/>
          <w:color w:val="auto"/>
        </w:rPr>
        <w:t>If, for any reason, we are unable to meet our debt service and repayment obligations, we would be in default under the terms of the agreements governing our debt, which would allow our creditors at that time to declare certain outstanding indebtedness to be due and payable, which would in turn trigger cross</w:t>
      </w:r>
      <w:r>
        <w:rPr>
          <w:rFonts w:ascii="MS PGothic" w:cs="MS PGothic" w:eastAsia="MS PGothic" w:hAnsi="MS PGothic"/>
          <w:sz w:val="16"/>
          <w:szCs w:val="16"/>
          <w:color w:val="auto"/>
        </w:rPr>
        <w:t>‑</w:t>
      </w:r>
      <w:r>
        <w:rPr>
          <w:rFonts w:ascii="Arial" w:cs="Arial" w:eastAsia="Arial" w:hAnsi="Arial"/>
          <w:sz w:val="16"/>
          <w:szCs w:val="16"/>
          <w:color w:val="auto"/>
        </w:rPr>
        <w:t>acceleration or cross</w:t>
      </w:r>
      <w:r>
        <w:rPr>
          <w:rFonts w:ascii="MS PGothic" w:cs="MS PGothic" w:eastAsia="MS PGothic" w:hAnsi="MS PGothic"/>
          <w:sz w:val="16"/>
          <w:szCs w:val="16"/>
          <w:color w:val="auto"/>
        </w:rPr>
        <w:t>‑</w:t>
      </w:r>
      <w:r>
        <w:rPr>
          <w:rFonts w:ascii="Arial" w:cs="Arial" w:eastAsia="Arial" w:hAnsi="Arial"/>
          <w:sz w:val="16"/>
          <w:szCs w:val="16"/>
          <w:color w:val="auto"/>
        </w:rPr>
        <w:t>default rights between the relevant agreements. In addition, the holders of our 6.5% Notes could foreclose against the assets securing the 6.5% Notes and we could be forced into bankruptcy or liquidation and/or our lenders could compel us to apply all of our available cash to repay our borrowings or they could prevent us from making payments on our indebtedness. If the amounts outstanding under any of our indebtedness were to be accelerated, our assets may not be sufficient to repay in full the money owed to the lenders or to our other debt holders.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4" w:name="page35"/>
    <w:bookmarkEnd w:id="34"/>
    <w:p>
      <w:pPr>
        <w:ind w:right="840"/>
        <w:spacing w:after="0" w:line="277" w:lineRule="auto"/>
        <w:rPr>
          <w:sz w:val="20"/>
          <w:szCs w:val="20"/>
          <w:color w:val="auto"/>
        </w:rPr>
      </w:pPr>
      <w:r>
        <w:rPr>
          <w:rFonts w:ascii="Arial" w:cs="Arial" w:eastAsia="Arial" w:hAnsi="Arial"/>
          <w:sz w:val="18"/>
          <w:szCs w:val="18"/>
          <w:b w:val="1"/>
          <w:bCs w:val="1"/>
          <w:i w:val="1"/>
          <w:iCs w:val="1"/>
          <w:color w:val="auto"/>
        </w:rPr>
        <w:t>We and our subsidiaries may incur more debt, which may increase the risks associated with our leverage, including our ability to service our indebtedness.</w:t>
      </w:r>
    </w:p>
    <w:p>
      <w:pPr>
        <w:spacing w:after="0" w:line="17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agreements governing our debt permit us, under some circumstances, to incur certain additional indebtedness or obligations. To the extent that we incur additional indebtedness or such other obligations, the risks associated with our leverage described above, including our possible inability to service our debt, would increase.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our credit ratings or macroeconomic conditions may affect our liquidity, increasing borrowing costs and limiting our financing options.</w:t>
      </w:r>
    </w:p>
    <w:p>
      <w:pPr>
        <w:spacing w:after="0" w:line="208"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Macroeconomic conditions, such as increased volatility or disruption in the credit markets, could adversely affect our ability to refinance existing debt or obtain additional financing at terms satisfactory to us, thereby affecting our resources to support operations or to fund new initiatives. In addition, if our credit ratings are lowered, borrowing costs for future long-term debt or short-term credit facilities may increase and our financing options, including our access to the unsecured credit market, could be limited. We may also be subject to restrictive covenants that would reduce our flexibility.</w:t>
      </w:r>
    </w:p>
    <w:p>
      <w:pPr>
        <w:spacing w:after="0" w:line="184"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b w:val="1"/>
          <w:bCs w:val="1"/>
          <w:i w:val="1"/>
          <w:iCs w:val="1"/>
          <w:color w:val="auto"/>
        </w:rPr>
        <w:t>A portion of our business is conducted through foreign subsidiaries, and the failure to generate sufficient cash flow from these subsidiaries, or otherwise repatriate or receive cash from these subsidiaries, could result in our inability to repay our indebtedness.</w:t>
      </w:r>
    </w:p>
    <w:p>
      <w:pPr>
        <w:spacing w:after="0" w:line="124"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As of December 27, 2020, approximately 9% of our consolidated assets, based on book value, and 15% of our consolidated revenues for the year ended December 27, 2020, were held by foreign subsidiaries, which do not guarantee the 6.5% Notes. Our ability to meet our debt service obligations with cash from foreign subsidiaries will depend upon the results of operations of these subsidiaries and may be subject to legal, contractual or other restrictions and other business considerations. In addition, dividend and interest payments to us from the foreign subsidiaries may be subject to foreign withholding taxes, which would reduce the amount of funds we receive from such foreign subsidiaries. Therefore, to the extent that we must use cash generated in foreign jurisdictions to make principal or interest payments on our debt, there may be a cost associated with repatriating the cash to the U.S. Dividends and other distributions from our foreign subsidiaries may also be subject to fluctuations in currency exchange rates and legal and other restrictions on repatriation, which could further reduce the amount of funds we receive from such foreign subsidiaries.</w:t>
      </w:r>
    </w:p>
    <w:p>
      <w:pPr>
        <w:spacing w:after="0" w:line="16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The agreements governing our debt impose significant operating and financial restrictions on us and our subsidiaries that may prevent us and our subsidiaries from pursuing certain business opportunities and restrict our ability to operate our business.</w:t>
      </w:r>
    </w:p>
    <w:p>
      <w:pPr>
        <w:spacing w:after="0" w:line="146"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Indenture and the Credit Agreement subject us, and our subsidiaries, to several financial and other restrictive covenants, including limitations on liens or indebtedness, payment of dividends, transactions with affiliates, and mergers, sales or other dispositions of our assets.</w:t>
      </w:r>
    </w:p>
    <w:p>
      <w:pPr>
        <w:spacing w:after="0" w:line="14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Our Credit Agreement also requires us to comply with specified financial ratios, including a borrowing base availability and minimum fixed charge coverage ratio which is required to be maintained if borrowing levels, as defined, under the Credit Agreement, occur under the line of credit. Many factors, including events beyond our control, may affect our ability to comply with these covenants and financial ratios. We cannot be sure we will meet our debt-related obligations or that lenders will waive any failure to meet those obligations. Any failure to meet those debt-related obligations could result in an event of default under our other indebtedness and the acceleration of such indebtedness.</w:t>
      </w:r>
    </w:p>
    <w:p>
      <w:pPr>
        <w:spacing w:after="0" w:line="203"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The restrictions contained in the Indenture and in our Credit Agreement could also limit our ability to plan for or react to market conditions, meet capital needs or otherwise restrict our activities or business plans and adversely affect our ability to finance operations, enter into acquisitions or to engage in other business activities that would be in the Company’s interest.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ind w:right="240"/>
        <w:spacing w:after="0" w:line="277" w:lineRule="auto"/>
        <w:rPr>
          <w:sz w:val="20"/>
          <w:szCs w:val="20"/>
          <w:color w:val="auto"/>
        </w:rPr>
      </w:pPr>
      <w:r>
        <w:rPr>
          <w:rFonts w:ascii="Arial" w:cs="Arial" w:eastAsia="Arial" w:hAnsi="Arial"/>
          <w:sz w:val="18"/>
          <w:szCs w:val="18"/>
          <w:b w:val="1"/>
          <w:bCs w:val="1"/>
          <w:i w:val="1"/>
          <w:iCs w:val="1"/>
          <w:color w:val="auto"/>
        </w:rPr>
        <w:t>Changes in the method for determining LIBOR and the potential replacement of LIBOR may affect interest rates on our credit facilities and interest rate swaps.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LIBOR, the London interbank offered rate, is the basic rate of interest used in lending between banks on the London interbank market and is widely used as a reference for setting the interest rate on loans globally. Interest rates under our Credit Agreement are based partly on the LIBOR. On July 27, 2017, the United Kingdom’s Financial Conduct Authority, which regulates LIBOR, announced that it intends to phase out LIBOR by the end of 2021. It is unclear if at that time LIBOR will cease to exist or if new methods of calculating LIBOR will be established such that it continues to exist after 2021. If the method for calculation of LIBOR changes, if LIBOR is no longer available or if lenders have increased costs due to changes in LIBOR, we may suffer from potential increases in interest rates on our borrowings under the Credit Agreement. Further, we may need to renegotiate our credit facilities or any other borrowings that utilize LIBOR as a factor in determining the interest rate to replace LIBOR with the new standard that is established.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protect our intellectual property rights.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rely on a combination of patents, trademarks, copyrights, trade secrets and nondisclosure agreements to protect our proprietary intellectual property. Our efforts to protect our intellectual property and proprietary rights may not be sufficient. We cannot be sure that our pending patent applications will result in the issuance of patents to us, that patents issued to or licensed by us in the past or in the future will not be challenged or circumvented by competitors or that these patents will remain valid or sufficiently broad to preclude our competitors from introducing technologies similar to those covered by our patents and patent applications. In addition, our ability to enforce and protect our intellectual property rights may be limited in certain countries outside the U.S., which could make it easier for competitors to capture market position in such countries by utilizing technologies that are similar to those developed or licensed by us. Competitors also may harm our sales by designing products that mirror the capabilities of our products or technology without infringing on our intellectual property rights. If we do not obtain sufficient protection for our intellectual property, or if we are unable to effectively enforce our intellectual property rights, our competitiveness could be impaired, which would limit our growth and future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trade secrets could cause harm to our business.</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we are unable to protect our intellectual property, our competitors could market services or products similar to our services and products, which could reduce demand for our offerings. Any litigation to enforce our intellectual property rights, protect our trade secrets or determine the validity and scope of the proprietary rights of others could result in substantial costs and diversion of resources, with no assurance of success.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Environmental and Legal Issues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comply with complex procurement laws and regulations could cause us to lose business and subject us to a variety of penalties.</w:t>
      </w:r>
    </w:p>
    <w:p>
      <w:pPr>
        <w:spacing w:after="0" w:line="24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must comply with laws and regulations relating to the formation, administration and performance of U.S. Government contracts, which affect how we do business with our customers, prime contractors, subcontractors and vendors and may impose added costs on us. New regulations or procurement requirements (including, for example regulations regarding counterfeit and corrupt parts, supply chain diligence and cybersecurity) or changes to current requirements could increase our costs and risk of non-compliance. Our role as a contractor to agencies and departments of the U.S. Government results in our being routinely subject to investigations and reviews relating to compliance with various laws and regulations, including those associated with organizational conflicts of interest, procurement integrity, bid integrity and claim presentation, among others. These investigations may be conducted without our knowledge. Adverse findings in these investigations or reviews can lead to criminal, civil or administrative proceedings, and we could face civil and criminal penalties and administrative sanctions, including termination of contracts, forfeiture of profits, suspension of payments, fines and suspension or debarment from doing business with U.S. Government agencies. In addition, we could suffer serious harm to our reputation and competitive position if allegations of impropriety were made against us, whether or not true. If our reputation or relationship with U.S. Government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6" w:name="page37"/>
    <w:bookmarkEnd w:id="36"/>
    <w:p>
      <w:pPr>
        <w:ind w:right="120"/>
        <w:spacing w:after="0" w:line="277" w:lineRule="auto"/>
        <w:rPr>
          <w:sz w:val="20"/>
          <w:szCs w:val="20"/>
          <w:color w:val="auto"/>
        </w:rPr>
      </w:pPr>
      <w:r>
        <w:rPr>
          <w:rFonts w:ascii="Arial" w:cs="Arial" w:eastAsia="Arial" w:hAnsi="Arial"/>
          <w:sz w:val="18"/>
          <w:szCs w:val="18"/>
          <w:color w:val="auto"/>
        </w:rPr>
        <w:t>agencies were impaired, or if the U.S. Government otherwise ceased doing business with us or significantly decreased the amount of business it does with us, our revenue and operating profit would decline.</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contracts and administrative processes and systems are subject to audits and cost adjustments by the U.S. Government, which could reduce our revenue, disrupt our business or otherwise adversely affect our results of operations.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U.S. Government agencies, including the Defense Contract Audit Agency (“DCAA”), routinely audit and investigate government contracts and government contractors’ administrative processes and systems. These agencies review our performance on contracts, pricing practices, cost structure and compliance with applicable laws, regulations and standards. They also review the adequacy of our compliance with government standards for our accounting and management of internal control systems, including our: control environment and overall accounting system; general IT system; budget and planning system; purchasing system; material management and accounting system; compensation system; labor system; indirect and other direct costs system; billing system; and estimating system used for pricing on government contracts. Both contractors and the U.S. Government agencies conducting these audits and reviews have come under increased scrutiny. The current audits and reviews have become more rigorous, and the standards to which contractors are being held are being more strictly interpreted, increasing the likelihood of an audit or review resulting in an adverse outcome. During the course of its current audits, the DCAA is closely examining and questioning several of our established and disclosed practices that it had previously audited and accepted, increasing the uncertainty as to the ultimate conclusion that will be reached.</w:t>
      </w:r>
    </w:p>
    <w:p>
      <w:pPr>
        <w:spacing w:after="0" w:line="18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A finding of significant control deficiencies in our system audits or other reviews can result in decremented billing rates to our U.S. Government customers until the control deficiencies are corrected and our corrections are accepted by Defense Contract Management Agency (“DCMA”). 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Our receipt of adverse audit findings or the failure to obtain an “approved” determination of our various accounting and management internal control systems, including our changes to indirect cost and direct labor estimating systems, from the responsible U.S. Government agency could significantly and adversely affect our business, including our ability to bid on new contracts and our competitive position in the bidding process. A determination of non-compliance with applicable contracting and procurement laws, regulations and standards could also result in the U.S. Government imposing penalties and sanctions against us, including withholding of payments, suspension of payments and increased government scrutiny that could delay or adversely affect our ability to invoice and receive timely payment on contracts, perform contracts or compete for contracts with the U.S. Government.</w:t>
      </w:r>
    </w:p>
    <w:p>
      <w:pPr>
        <w:spacing w:after="0" w:line="19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submitted incurred cost claims through fiscal year 2018. The actual indirect cost audits by the DCAA have been completed for our subsidiaries through fiscal year 2017. Although we have recorded contract revenues subsequent to fiscal year 2017 based upon costs that we believe will be approved upon final audit or review, we do not know the outcome of any ongoing or future audits or reviews and, if future adjustments exceed our estimates, our profitability would be adversely affected.</w:t>
      </w:r>
    </w:p>
    <w:p>
      <w:pPr>
        <w:spacing w:after="0" w:line="2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employees or others acting on our behalf may engage in misconduct or other improper activities, which could cause us to lose contracts or cause us to incur costs.</w:t>
      </w:r>
    </w:p>
    <w:p>
      <w:pPr>
        <w:spacing w:after="0" w:line="19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are exposed to the risk that employee fraud or other misconduct from our employees or others acting on our behalf could occur. Misconduct by employees or others could include intentional failures to comply with U.S. Government procurement regulations, engaging in unauthorized activities, insider threats to our cybersecurity, or falsifying time records. Misconduct by our employees or others acting on our behalf could also involve the improper use of our customers’ sensitive or classified information, which could result in regulatory sanctions against us, serious harm to our reputation, a loss of contracts and a reduction in revenues, or cause us to incur costs to respond to any related governmental inquiries. It is not always possible to deter misconduct, and the precautions we take to prevent and detect this activity may not be effective in controlling unknown or unmanaged risks or losses, which could cause us to lose contracts or cause a reduction in revenues. In addition, alleged or actual misconduct by employees or others acting on our behalf could result in investigations or prosecutions of persons engaged in the subject activities, which could result in unanticipated consequences or expenses and management distraction for us regardless of whether we are alleged to have any responsibility.</w:t>
      </w:r>
    </w:p>
    <w:p>
      <w:pPr>
        <w:spacing w:after="0" w:line="181" w:lineRule="exact"/>
        <w:rPr>
          <w:sz w:val="20"/>
          <w:szCs w:val="20"/>
          <w:color w:val="auto"/>
        </w:rPr>
      </w:pPr>
    </w:p>
    <w:p>
      <w:pPr>
        <w:ind w:right="160" w:firstLine="177"/>
        <w:spacing w:after="0" w:line="259" w:lineRule="auto"/>
        <w:rPr>
          <w:sz w:val="20"/>
          <w:szCs w:val="20"/>
          <w:color w:val="auto"/>
        </w:rPr>
      </w:pPr>
      <w:r>
        <w:rPr>
          <w:rFonts w:ascii="Arial" w:cs="Arial" w:eastAsia="Arial" w:hAnsi="Arial"/>
          <w:sz w:val="18"/>
          <w:szCs w:val="18"/>
          <w:color w:val="auto"/>
        </w:rPr>
        <w:t>We have in the past experienced and may in the future experience such misconduct, despite our various compliance programs. Misconduct or improper actions by our employees, agents, subcontractors, suppliers, business partners and/or joint ventures could subject us to administrative, civil or criminal investigations and enforcement actions; monetary and non-monetary penalties; liabilities; and the loss of privileges and other sanctions, including suspension and debarment, which could</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7" w:name="page38"/>
    <w:bookmarkEnd w:id="37"/>
    <w:p>
      <w:pPr>
        <w:ind w:right="320"/>
        <w:spacing w:after="0" w:line="277" w:lineRule="auto"/>
        <w:rPr>
          <w:sz w:val="20"/>
          <w:szCs w:val="20"/>
          <w:color w:val="auto"/>
        </w:rPr>
      </w:pPr>
      <w:r>
        <w:rPr>
          <w:rFonts w:ascii="Arial" w:cs="Arial" w:eastAsia="Arial" w:hAnsi="Arial"/>
          <w:sz w:val="18"/>
          <w:szCs w:val="18"/>
          <w:color w:val="auto"/>
        </w:rPr>
        <w:t>negatively impact our reputation and ability to conduct business and could have a material adverse effect on our financial position, results of operations and/or cash flows.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subject to environmental laws and potential exposure to environmental liabilities. This may affect our ability to develop, sell or rent our property or to borrow money where such property is required to be used as collateral.</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use hazardous materials common to the industries in which we operate. We are required to follow federal, state and local environmental laws and regulations regarding the handling, storage and disposal of these materials, including the Clean Air Act, the Clean Water Act, the Resource Conservation and Recovery Act, the Comprehensive Environmental Response, Compensation and Liability Act (“CERCLA”), and the Toxic Substances Control Act. We could be subject to fines, suspensions of production, alteration of our manufacturing processes or interruption or cessation of our operations if we fail to comply with present or future laws or regulations related to the use, storage, handling, discharge or disposal of toxic, volatile or otherwise hazardous chemicals used in our manufacturing processes. These regulations could require us to acquire expensive remediation equipment or to incur significant other expenses to comply with environmental regulations. Our failure to control the handling, use, storage or disposal of, or adequately restrict the discharge of, hazardous substances could subject us to liabilities and production delays, which could cause us to miss our customers’ delivery schedules, thereby reducing our sales for a given period. We may also have to pay regulatory fines, penalties or other costs (including remediation costs), which could materially reduce our profits and adversely affect our financial condition. Permits are required for our operations, and these permits are subject to renewal, modification and, in some cases, revocation.</w:t>
      </w:r>
    </w:p>
    <w:p>
      <w:pPr>
        <w:spacing w:after="0" w:line="18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addition, under environmental laws, ordinances or regulations, a current or previous owner or operator of property may be liable for the costs of removal or remediation of some kinds of petroleum products or other hazardous substances on, under, or in its property, adjacent or nearby property, or offsite disposal locations, without regard to whether the owner or operator knew of, or caused, the presence of the contaminants, and regardless of whether the practices that resulted in the contamination were legal at the time they occurred. We have incurred, and may incur in the future, liabilities under CERCLA and other environmental laws at our current or former facilities, adjacent or nearby properties or offsite disposal locations. The costs associated with future cleanup activities that we may be required to conduct or finance may be material. The presence of, or failure to remediate properly, hazardous substances may adversely affect the ability to sell or rent the property or to borrow funds using the property as collateral. Additionally, we may become subject to claims by third parties based on damages, including personal injury and property damage, and costs resulting from the disposal or release of hazardous substances into the environment.</w:t>
      </w:r>
    </w:p>
    <w:p>
      <w:pPr>
        <w:spacing w:after="0" w:line="2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cause us to incur additional expenses and could limit the supply and increase the cost of certain metals used in manufacturing our products.</w:t>
      </w:r>
    </w:p>
    <w:p>
      <w:pPr>
        <w:spacing w:after="0" w:line="19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are subject to regulations requiring disclosures of specified minerals, known as conflict minerals, that are necessary to the functionality or production of products manufactured or contracted to be manufactured by public companies. The rule requires companies to perform due diligence, disclose and report whether or not such minerals originate from the Democratic Republic of the Congo or an adjoining country. The rule can affect sourcing at competitive prices and availability in sufficient quantities of certain minerals used in the manufacture of our products, including tantalum, tin, gold and tungsten. The number of suppliers who provide conflict-free minerals is limited. In addition, there are costs associated with complying with the disclosure requirements, such as costs related to determining the source of certain minerals used in our products, as well as costs of changes to products, processes, or sources of supply as a consequence of such verification activities. Since our supply chain is complex, we are not always able to sufficiently verify the origins of the relevant minerals used in our products through the due diligence procedures we implemented, which may harm our reputation. In addition, we may encounter challenges to satisfy those customers who require that all of the components of our products be certified as conflict-free, which could place us at a competitive disadvantage if we are unable to do so.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or severe weather conditions could disrupt our business and result in loss of revenue or higher expenses.</w:t>
      </w:r>
    </w:p>
    <w:p>
      <w:pPr>
        <w:spacing w:after="0" w:line="225" w:lineRule="exact"/>
        <w:rPr>
          <w:sz w:val="20"/>
          <w:szCs w:val="20"/>
          <w:color w:val="auto"/>
        </w:rPr>
      </w:pPr>
    </w:p>
    <w:p>
      <w:pPr>
        <w:ind w:right="300" w:firstLine="648"/>
        <w:spacing w:after="0" w:line="301" w:lineRule="auto"/>
        <w:rPr>
          <w:sz w:val="20"/>
          <w:szCs w:val="20"/>
          <w:color w:val="auto"/>
        </w:rPr>
      </w:pPr>
      <w:r>
        <w:rPr>
          <w:rFonts w:ascii="Arial" w:cs="Arial" w:eastAsia="Arial" w:hAnsi="Arial"/>
          <w:sz w:val="16"/>
          <w:szCs w:val="16"/>
          <w:color w:val="auto"/>
        </w:rPr>
        <w:t>Our business depends on maintaining operations at our facilities and being able to operate at our customer facilities and project locations. A serious, prolonged interruption or damage due to power outage, telecommunications outage, terrorist attack, earthquake, hurricane, fire, flood or other natural disaster, or other interruption could have a material adverse effect on our business and financial results. While we insure against certain business interruption risks, such insurance may not adequately compensate us for any losses incurred as a result of natural or other disasters.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contracts with the U.S. Government are classified, which may limit investor insight into portions of our business.</w:t>
      </w:r>
    </w:p>
    <w:p>
      <w:pPr>
        <w:spacing w:after="0" w:line="225" w:lineRule="exact"/>
        <w:rPr>
          <w:sz w:val="20"/>
          <w:szCs w:val="20"/>
          <w:color w:val="auto"/>
        </w:rPr>
      </w:pPr>
    </w:p>
    <w:p>
      <w:pPr>
        <w:ind w:right="280" w:firstLine="648"/>
        <w:spacing w:after="0" w:line="301" w:lineRule="auto"/>
        <w:rPr>
          <w:sz w:val="20"/>
          <w:szCs w:val="20"/>
          <w:color w:val="auto"/>
        </w:rPr>
      </w:pPr>
      <w:r>
        <w:rPr>
          <w:rFonts w:ascii="Arial" w:cs="Arial" w:eastAsia="Arial" w:hAnsi="Arial"/>
          <w:sz w:val="16"/>
          <w:szCs w:val="16"/>
          <w:color w:val="auto"/>
        </w:rPr>
        <w:t>We derive a portion of our revenues from programs with the U.S. Government that are subject to security restrictions (classified programs) that preclude the dissemination of information that is classified for national security purposes. We are limited in our ability to provide details about these classified programs, their risks or any disputes or claims relating to such programs. As a result, investors and others might have less insight into our classified programs than our other businesses and, therefore, less ability to fully evaluate the risks related to our classified business.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cash dividends or buyback any Kratos stock for the foreseeable future</w:t>
      </w:r>
      <w:r>
        <w:rPr>
          <w:rFonts w:ascii="Arial" w:cs="Arial" w:eastAsia="Arial" w:hAnsi="Arial"/>
          <w:sz w:val="18"/>
          <w:szCs w:val="18"/>
          <w:color w:val="auto"/>
        </w:rPr>
        <w:t>.</w:t>
      </w:r>
    </w:p>
    <w:p>
      <w:pPr>
        <w:spacing w:after="0" w:line="225"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color w:val="auto"/>
        </w:rPr>
        <w:t>We have not declared any cash dividends since becoming a public company. We currently intend to retain any future earnings to finance the growth and development of the business and, therefore, we do not anticipate that we will pay any cash dividends on shares of our common stock in the foreseeable future. In addition, our ability to pay dividends and buyback Kratos stock is restricted by both the Indenture and the Credit Agreement. Any determination to pay dividends or stock buybacks in the future will be at the discretion of our board of directors and will be dependent upon our future financial condition, results of operations and capital requirements, general business conditions and other relevant factors as determined by our board of directors. See “Dividend Policy.”</w:t>
      </w:r>
    </w:p>
    <w:p>
      <w:pPr>
        <w:spacing w:after="0" w:line="21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Certain provisions in our amended and restated certificate of incorporation and second amended and restated bylaws, as amended, and of Delaware law, may prevent or delay an acquisition of our Company, which could decrease the trading price of our common stock.</w:t>
      </w:r>
    </w:p>
    <w:p>
      <w:pPr>
        <w:spacing w:after="0" w:line="15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amended and restated certificate of incorporation, our second amended and restated bylaws, as amended, and Delaware law contain provisions that are intended to deter coercive takeover practices and inadequate takeover bids by making such practices or bids unacceptably expensive to the raider and to encourage prospective acquirers to negotiate with our board of directors rather than to attempt a hostile takeover. These provisions include, among others:</w:t>
      </w:r>
    </w:p>
    <w:p>
      <w:pPr>
        <w:spacing w:after="0" w:line="214" w:lineRule="exact"/>
        <w:rPr>
          <w:sz w:val="20"/>
          <w:szCs w:val="20"/>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of our stockholders to call a special meeting;</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rules regarding how stockholders may present proposals or nominate directors for election at stockholder meetings;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 of our board of directors to issue preferred stock without stockholder approval;</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super-majority requirement to amend our certificate of incorporation or bylaws;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our directors, and not stockholders, to fill vacancies on our board of directors.</w:t>
      </w:r>
    </w:p>
    <w:p>
      <w:pPr>
        <w:spacing w:after="0" w:line="23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Delaware law also imposes some restrictions on mergers and other business combinations between us and any holder of 15% or more of our outstanding common stock.</w:t>
      </w:r>
    </w:p>
    <w:p>
      <w:pPr>
        <w:spacing w:after="0" w:line="19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believe these provisions may help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our Company immune from takeovers. In addition, although we believe these provisions collectively provide for an opportunity to receive higher bids by requiring potential acquirers to negotiate with our board, they would apply even if the offer may be considered beneficial by some stockholders. These provisions may also frustrate or prevent any attempts by our stockholders to replace or remove our current management team by making it more difficult for stockholders to replace members of our board, which is responsible for appointing the members of our management.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w:t>
      </w:r>
    </w:p>
    <w:p>
      <w:pPr>
        <w:spacing w:after="0" w:line="25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price of our stock has been in the past, and will continue to be, subject to fluctuations as a result of a number of factors, most of which we cannot control, including: failure of our operating results to meet market or analysts’ expectations; general fluctuations in the stock market; actual or anticipated fluctuations in our operating results based on reduced and/or delayed government spending or the threat thereof; fluctuations in the stock prices of companies in our industry; changes in earnings estimated by securities analysts or our ability to meet those estimates; rumors or dissemination of false information;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ind w:right="300"/>
        <w:spacing w:after="0" w:line="279" w:lineRule="auto"/>
        <w:rPr>
          <w:sz w:val="20"/>
          <w:szCs w:val="20"/>
          <w:color w:val="auto"/>
        </w:rPr>
      </w:pPr>
      <w:r>
        <w:rPr>
          <w:rFonts w:ascii="Arial" w:cs="Arial" w:eastAsia="Arial" w:hAnsi="Arial"/>
          <w:sz w:val="17"/>
          <w:szCs w:val="17"/>
          <w:color w:val="auto"/>
        </w:rPr>
        <w:t>short selling of our common stock; litigation and government inquiries; political and/or military events associated with current worldwide conflicts; and domestic and foreign economic conditions. Such volatility has had a significant effect on the market prices of many companies’ securities for reasons unrelated to their operating performance and, in the past, has led to securities class action litigation. Securities litigation against us could result in substantial costs and a diversion of our management’s attention and resources, which could have an adverse effect on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of ownership in us may be diluted in the future.</w:t>
      </w:r>
    </w:p>
    <w:p>
      <w:pPr>
        <w:spacing w:after="0" w:line="252"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As with any publicly traded company, your percentage ownership in us may be diluted in the future because of equity issuances for acquisitions, capital market transactions or otherwise, including equity awards that we expect will be granted to our directors, officers and employees.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could cause the market price for our common stock to decline.</w:t>
      </w:r>
    </w:p>
    <w:p>
      <w:pPr>
        <w:spacing w:after="0" w:line="25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cannot predict the effect, if any, that market sales of shares of our common stock or the availability of shares of our common stock for sale will have on the market price of our common stock prevailing from time to time. Sales of substantial amounts of shares of our common stock in the public market, or the perception that those sales will occur, could cause the market price of our common stock to decline or be depressed.</w:t>
      </w:r>
    </w:p>
    <w:p>
      <w:pPr>
        <w:spacing w:after="0" w:line="19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the future, we may issue our securities if we need to raise capital in connection with a capital expenditure, working capital requirement or acquisition. The amount of shares of our common stock issued in connection with a capital expenditure, working capital requirement or acquisition could constitute a material portion of our then-outstanding shares of common stock. Any perceived excess in the supply of our shares in the market could negatively impact our share price and any issuance of additional securities in connection with investments or acquisitions may result in additional dilution to you.</w:t>
      </w:r>
    </w:p>
    <w:p>
      <w:pPr>
        <w:spacing w:after="0" w:line="215" w:lineRule="exact"/>
        <w:rPr>
          <w:sz w:val="20"/>
          <w:szCs w:val="20"/>
          <w:color w:val="auto"/>
        </w:rPr>
      </w:pPr>
    </w:p>
    <w:p>
      <w:pPr>
        <w:ind w:right="220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 or prevent fraud.</w:t>
      </w:r>
    </w:p>
    <w:p>
      <w:pPr>
        <w:spacing w:after="0" w:line="197"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Effective internal controls are necessary for us to provide reliable financial reports. If we cannot provide reliable financial reports, our operating results could be misstated, our reputation may be harmed and the trading price of our stock could be negatively affected. Our management has concluded that there are no material weaknesses in our internal controls over financial reporting as of December 27, 2020. However, although we continue to devote substantial time and resources to the documentation and testing of our controls, there can be no assurance that our controls over financial processes and reporting will be effective in the future or that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consolidated financial statements or other public disclosures. Inferior internal controls could also cause investors to lose confidence in our reported financial information, which could have a negative effect on the trading price of our stock.</w:t>
      </w:r>
    </w:p>
    <w:p>
      <w:pPr>
        <w:spacing w:after="0" w:line="193" w:lineRule="exact"/>
        <w:rPr>
          <w:sz w:val="20"/>
          <w:szCs w:val="20"/>
          <w:color w:val="auto"/>
        </w:rPr>
      </w:pPr>
    </w:p>
    <w:p>
      <w:pPr>
        <w:ind w:right="2380"/>
        <w:spacing w:after="0" w:line="277" w:lineRule="auto"/>
        <w:rPr>
          <w:sz w:val="20"/>
          <w:szCs w:val="20"/>
          <w:color w:val="auto"/>
        </w:rPr>
      </w:pPr>
      <w:r>
        <w:rPr>
          <w:rFonts w:ascii="Arial" w:cs="Arial" w:eastAsia="Arial" w:hAnsi="Arial"/>
          <w:sz w:val="18"/>
          <w:szCs w:val="18"/>
          <w:b w:val="1"/>
          <w:bCs w:val="1"/>
          <w:i w:val="1"/>
          <w:iCs w:val="1"/>
          <w:color w:val="auto"/>
        </w:rPr>
        <w:t>Litigation may distract us from operating our business, and adverse judgments or settlements could adversely affect our financial results and operations.</w:t>
      </w:r>
    </w:p>
    <w:p>
      <w:pPr>
        <w:spacing w:after="0" w:line="19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Litigation that may be brought by or against us could cause us to incur significant expenditures and distract our management from the operation of our business. Furthermore, there can be no assurance that we would prevail in such litigation or resolve such litigation on terms favorable to us, which may adversely affect our financial results and operations. See Note 15 of the Notes to Consolidated Financial Statements contained within this Annual Report for a further discussion of our legal proceedings.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harmed by intellectual property infringement claims.</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may become subject to claims from our employees or third parties who assert that software and other forms of intellectual property that we use in delivering services and solutions to our customers infringe upon intellectual property rights of such employees or third parties. Our employees develop some of the software and other forms of intellectual property that we use to provide our services and solutions to our customers, but we also license technology from other vendors. If our employees, vendors, or other third parties assert claims that we or our customers are infringing on their intellectual property rights, we could incur substantial costs to defend those claims. If any such infringement claims were ultimately successful, we could be required to cease selling or using products or services that incorporate the challenged software or technology, obtain a</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0" w:name="page41"/>
    <w:bookmarkEnd w:id="40"/>
    <w:p>
      <w:pPr>
        <w:ind w:right="20"/>
        <w:spacing w:after="0" w:line="277" w:lineRule="auto"/>
        <w:rPr>
          <w:sz w:val="20"/>
          <w:szCs w:val="20"/>
          <w:color w:val="auto"/>
        </w:rPr>
      </w:pPr>
      <w:r>
        <w:rPr>
          <w:rFonts w:ascii="Arial" w:cs="Arial" w:eastAsia="Arial" w:hAnsi="Arial"/>
          <w:sz w:val="18"/>
          <w:szCs w:val="18"/>
          <w:color w:val="auto"/>
        </w:rPr>
        <w:t>license or additional licenses from our employees, vendors, or other third parties, or redesign our products and services that rely on the challenged software or technology.</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any trading volume could decline.</w:t>
      </w:r>
    </w:p>
    <w:p>
      <w:pPr>
        <w:spacing w:after="0" w:line="197"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The trading market for our securities depends in part on the research and reports that industry or financial analysts publish about us or our business. We do not influence or control the reporting of these analysts. If one or more of the analysts who do cover us downgrade or provide a negative outlook on our Company or our industry, or the stock of any of our competitors, the price of our common stock could decline. If one or more of these analysts ceases coverage of our Company, we could lose visibility in the market, which in turn could cause the price of our common stock to decline.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At December 27, 2020, we owned or leased approximately 1.8 million square feet of floor space at 49 separate locations, primarily in the U.S., for manufacturing, warehousing, research and development, administration and various other uses. At December 27, 2020, we also leased approximately 103 acres of land, which included 98 acres in Ontario, Canada which is used by our recently acquired ASC Signal business. We continually evaluate our current and future space capacity in relation to current and projected future staffing levels. We maintain our properties in good operating condition and believe that the productive capacity of our properties is adequate to meet current contractual requirements and those for the foreseeable future.</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major operations at the following locations:</w:t>
      </w:r>
    </w:p>
    <w:p>
      <w:pPr>
        <w:spacing w:after="0" w:line="140"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Kratos Government Solutions</w:t>
      </w:r>
      <w:r>
        <w:rPr>
          <w:rFonts w:ascii="Arial" w:cs="Arial" w:eastAsia="Arial" w:hAnsi="Arial"/>
          <w:sz w:val="18"/>
          <w:szCs w:val="18"/>
          <w:color w:val="auto"/>
        </w:rPr>
        <w:t>: Huntsville, AL; San Diego, CA; Colorado Springs, CO; Jupiter and Orlando, FL; Baltimore and Lanham, MD;</w:t>
      </w:r>
      <w:r>
        <w:rPr>
          <w:rFonts w:ascii="Arial" w:cs="Arial" w:eastAsia="Arial" w:hAnsi="Arial"/>
          <w:sz w:val="18"/>
          <w:szCs w:val="18"/>
          <w:b w:val="1"/>
          <w:bCs w:val="1"/>
          <w:color w:val="auto"/>
        </w:rPr>
        <w:t xml:space="preserve"> </w:t>
      </w:r>
      <w:r>
        <w:rPr>
          <w:rFonts w:ascii="Arial" w:cs="Arial" w:eastAsia="Arial" w:hAnsi="Arial"/>
          <w:sz w:val="18"/>
          <w:szCs w:val="18"/>
          <w:color w:val="auto"/>
        </w:rPr>
        <w:t>Bristow, OK; Dallastown, PA; Plano, TX, and Alexandria and Chantilly, VA. Locations outside the U.S. include Australia, Canada, England, France, Germany, Israel, Norway, and the United Kingdom.</w:t>
      </w:r>
    </w:p>
    <w:p>
      <w:pPr>
        <w:spacing w:after="0" w:line="108" w:lineRule="exact"/>
        <w:rPr>
          <w:sz w:val="20"/>
          <w:szCs w:val="20"/>
          <w:color w:val="auto"/>
        </w:rPr>
      </w:pPr>
    </w:p>
    <w:p>
      <w:pPr>
        <w:ind w:right="260" w:firstLine="648"/>
        <w:spacing w:after="0" w:line="266" w:lineRule="auto"/>
        <w:rPr>
          <w:sz w:val="20"/>
          <w:szCs w:val="20"/>
          <w:color w:val="auto"/>
        </w:rPr>
      </w:pPr>
      <w:r>
        <w:rPr>
          <w:rFonts w:ascii="Arial" w:cs="Arial" w:eastAsia="Arial" w:hAnsi="Arial"/>
          <w:sz w:val="18"/>
          <w:szCs w:val="18"/>
          <w:b w:val="1"/>
          <w:bCs w:val="1"/>
          <w:color w:val="auto"/>
        </w:rPr>
        <w:t xml:space="preserve">Unmanned Systems: </w:t>
      </w:r>
      <w:r>
        <w:rPr>
          <w:rFonts w:ascii="Arial" w:cs="Arial" w:eastAsia="Arial" w:hAnsi="Arial"/>
          <w:sz w:val="18"/>
          <w:szCs w:val="18"/>
          <w:color w:val="auto"/>
        </w:rPr>
        <w:t>Huntsville, AL; Roseville and Sacramento, CA; Fort Walton Beach, FL, Ortonville, MI; Oklahoma City, OK, and Round</w:t>
      </w:r>
      <w:r>
        <w:rPr>
          <w:rFonts w:ascii="Arial" w:cs="Arial" w:eastAsia="Arial" w:hAnsi="Arial"/>
          <w:sz w:val="18"/>
          <w:szCs w:val="18"/>
          <w:b w:val="1"/>
          <w:bCs w:val="1"/>
          <w:color w:val="auto"/>
        </w:rPr>
        <w:t xml:space="preserve"> </w:t>
      </w:r>
      <w:r>
        <w:rPr>
          <w:rFonts w:ascii="Arial" w:cs="Arial" w:eastAsia="Arial" w:hAnsi="Arial"/>
          <w:sz w:val="18"/>
          <w:szCs w:val="18"/>
          <w:color w:val="auto"/>
        </w:rPr>
        <w:t>Rock, TX.</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Corporate and other locations</w:t>
      </w:r>
      <w:r>
        <w:rPr>
          <w:rFonts w:ascii="Arial" w:cs="Arial" w:eastAsia="Arial" w:hAnsi="Arial"/>
          <w:sz w:val="18"/>
          <w:szCs w:val="18"/>
          <w:color w:val="auto"/>
        </w:rPr>
        <w:t>: San Diego, CA and Round Rock, TX.</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floor space at December 27, 2020:</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640" w:type="dxa"/>
            <w:vAlign w:val="bottom"/>
            <w:gridSpan w:val="2"/>
          </w:tcPr>
          <w:p>
            <w:pPr>
              <w:ind w:left="20"/>
              <w:spacing w:after="0"/>
              <w:rPr>
                <w:sz w:val="20"/>
                <w:szCs w:val="20"/>
                <w:color w:val="auto"/>
              </w:rPr>
            </w:pPr>
            <w:r>
              <w:rPr>
                <w:rFonts w:ascii="Arial" w:cs="Arial" w:eastAsia="Arial" w:hAnsi="Arial"/>
                <w:sz w:val="14"/>
                <w:szCs w:val="14"/>
                <w:b w:val="1"/>
                <w:bCs w:val="1"/>
                <w:color w:val="auto"/>
              </w:rPr>
              <w:t>Square feet (in thousands)</w:t>
            </w: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Owned</w:t>
            </w: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Leased</w:t>
            </w:r>
          </w:p>
        </w:tc>
        <w:tc>
          <w:tcPr>
            <w:tcW w:w="820" w:type="dxa"/>
            <w:vAlign w:val="bottom"/>
          </w:tcPr>
          <w:p>
            <w:pPr>
              <w:jc w:val="right"/>
              <w:ind w:right="174"/>
              <w:spacing w:after="0"/>
              <w:rPr>
                <w:sz w:val="20"/>
                <w:szCs w:val="20"/>
                <w:color w:val="auto"/>
              </w:rPr>
            </w:pPr>
            <w:r>
              <w:rPr>
                <w:rFonts w:ascii="Arial" w:cs="Arial" w:eastAsia="Arial" w:hAnsi="Arial"/>
                <w:sz w:val="14"/>
                <w:szCs w:val="14"/>
                <w:b w:val="1"/>
                <w:bCs w:val="1"/>
                <w:color w:val="auto"/>
              </w:rPr>
              <w:t>Total</w:t>
            </w:r>
          </w:p>
        </w:tc>
      </w:tr>
      <w:tr>
        <w:trPr>
          <w:trHeight w:val="229"/>
        </w:trPr>
        <w:tc>
          <w:tcPr>
            <w:tcW w:w="8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Kratos Government Solutions</w:t>
            </w:r>
          </w:p>
        </w:tc>
        <w:tc>
          <w:tcPr>
            <w:tcW w:w="1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6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r>
      <w:tr>
        <w:trPr>
          <w:trHeight w:val="229"/>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Unmanned Systems</w:t>
            </w: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461</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30"/>
        </w:trPr>
        <w:tc>
          <w:tcPr>
            <w:tcW w:w="8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(includes San Diego, operations of KGS and US segments)</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864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1,772</w:t>
            </w:r>
          </w:p>
        </w:tc>
      </w:tr>
      <w:tr>
        <w:trPr>
          <w:trHeight w:val="21"/>
        </w:trPr>
        <w:tc>
          <w:tcPr>
            <w:tcW w:w="8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 6 of the Notes to Consolidated Financial Statements contained within this Annual Report for information regarding commitments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See Note 15 of the Notes to Consolidated Financial Statements contained within this Annual Report for a further discussion of our legal proceedings.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1" w:name="page42"/>
    <w:bookmarkEnd w:id="41"/>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2140"/>
        <w:spacing w:after="0" w:line="518"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Select Market and is traded under the symbol “KTOS”.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19, 2021, there were 344 shareholders of record of our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have not declared any cash dividends since becoming a public company. We currently intend to retain any future earnings to finance the growth and development of the business and, therefore, do not anticipate paying any cash dividends in the foreseeable future. In addition, our ability to pay dividends is restricted by both the Indenture and the Credit Agreement, each as discussed in the section entitled “Liquidity and Capital Resources” in Item 7 “Management’s Discussion and Analysis of Financial Condition and Results of Operations” and Note 5 of the Notes to Consolidated Financial Statements contained within this Annual Report. Any future determination to pay cash dividends will be at the discretion of our board of directors and will be dependent upon our future financial condition, results of operations and capital requirements, general business conditions and other relevant factors as determined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as amended (the “Securities Act”), or the Exchange Act of 1934 as amended (the “Exchange Act”), except to the extent that we specifically incorporate it by reference into such filing.</w:t>
      </w:r>
    </w:p>
    <w:p>
      <w:pPr>
        <w:spacing w:after="0" w:line="165"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The following performance graph presents a comparison of the five year cumulative stockholder return on our common stock against the cumulative total return of a broad equity market index, the Russell 2000 Stock Index, and one customized peer group consisting of the companies listed below, for the period commencing December 31, 2015 and ending December 31, 2020. The performance graph assumes an initial investment of $100 in our common stock and in each of the Russell 2000 Stock Index and the peer group, and further assumes that all dividends were reinvested and all returns are market-cap weighted. The historical information set forth below is not necessarily indicative of future stock price performance.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COMPARISON OF 5 YEAR CUMULATIVE TOTAL RETURN*</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Among Kratos Defense &amp; Security Solutions, Inc., the Russell 2000 Index,</w:t>
      </w:r>
    </w:p>
    <w:p>
      <w:pPr>
        <w:jc w:val="center"/>
        <w:ind w:right="-59"/>
        <w:spacing w:after="0"/>
        <w:rPr>
          <w:sz w:val="20"/>
          <w:szCs w:val="20"/>
          <w:color w:val="auto"/>
        </w:rPr>
      </w:pPr>
      <w:r>
        <w:rPr>
          <w:rFonts w:ascii="Arial" w:cs="Arial" w:eastAsia="Arial" w:hAnsi="Arial"/>
          <w:sz w:val="13"/>
          <w:szCs w:val="13"/>
          <w:color w:val="auto"/>
        </w:rPr>
        <w:t>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114300</wp:posOffset>
            </wp:positionV>
            <wp:extent cx="5014595" cy="33000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014595"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580"/>
        <w:spacing w:after="0"/>
        <w:rPr>
          <w:sz w:val="20"/>
          <w:szCs w:val="20"/>
          <w:color w:val="auto"/>
        </w:rPr>
      </w:pPr>
      <w:r>
        <w:rPr>
          <w:rFonts w:ascii="Arial" w:cs="Arial" w:eastAsia="Arial" w:hAnsi="Arial"/>
          <w:sz w:val="14"/>
          <w:szCs w:val="14"/>
          <w:color w:val="auto"/>
        </w:rPr>
        <w:t>*$100 invested on 12/31/15 in stock or index, including reinvestment of dividends.</w:t>
      </w:r>
    </w:p>
    <w:p>
      <w:pPr>
        <w:ind w:left="2580"/>
        <w:spacing w:after="0"/>
        <w:rPr>
          <w:sz w:val="20"/>
          <w:szCs w:val="20"/>
          <w:color w:val="auto"/>
        </w:rPr>
      </w:pPr>
      <w:r>
        <w:rPr>
          <w:rFonts w:ascii="Arial" w:cs="Arial" w:eastAsia="Arial" w:hAnsi="Arial"/>
          <w:sz w:val="14"/>
          <w:szCs w:val="14"/>
          <w:color w:val="auto"/>
        </w:rPr>
        <w:t>Fiscal year ending December 31.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right="840"/>
        <w:spacing w:after="0" w:line="342" w:lineRule="auto"/>
        <w:rPr>
          <w:sz w:val="20"/>
          <w:szCs w:val="20"/>
          <w:color w:val="auto"/>
        </w:rPr>
      </w:pPr>
      <w:r>
        <w:rPr>
          <w:rFonts w:ascii="Arial" w:cs="Arial" w:eastAsia="Arial" w:hAnsi="Arial"/>
          <w:sz w:val="16"/>
          <w:szCs w:val="16"/>
          <w:color w:val="auto"/>
        </w:rPr>
        <w:t>The companies included in the Company’s Peer Group are: AAR Corp., Aerojet Rocketdyne Holdings, Inc., AeroVironment Inc., Comtech Telecommunications Corp., CPI Aerostructures Inc., Ducommun Inc., Frequency Electronics Inc., and Mercury Systems Inc.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November 18, 2020, the Company entered into a Securities Purchase Agreement (the “Purchase Agreement”) to acquire all of the issued and outstanding equity securities of 5-D Systems, Inc., a Texas corporation. Pursuant to the Purchase Agreement and the other agreements contemplated thereby, on November 18, 2020, the Company issued 250,374 shares of Common Stock to the selling stockholders in reliance on Section 4(a)(2) of the Securities Act.</w:t>
      </w:r>
    </w:p>
    <w:p>
      <w:pPr>
        <w:sectPr>
          <w:pgSz w:w="11900" w:h="16838" w:orient="portrait"/>
          <w:cols w:equalWidth="0" w:num="1">
            <w:col w:w="11180"/>
          </w:cols>
          <w:pgMar w:left="320" w:top="135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50" w:right="39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56"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following selected consolidated financial data should be read in conjunction with our Consolidated Financial Statements and related notes thereto and with Item 7 “Management’s Discussion and Analysis of Financial Condition and Results of Operations” contained within this Annual Report. Our historical results are not necessarily indicative of operating results to be expected in the future.</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Amounts in millions except per share amounts.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27, 2020</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29, 2019</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30, 2018</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Pr>
          <w:p>
            <w:pPr>
              <w:spacing w:after="0"/>
              <w:rPr>
                <w:sz w:val="16"/>
                <w:szCs w:val="16"/>
                <w:color w:val="auto"/>
              </w:rPr>
            </w:pPr>
          </w:p>
        </w:tc>
        <w:tc>
          <w:tcPr>
            <w:tcW w:w="1280" w:type="dxa"/>
            <w:vAlign w:val="bottom"/>
          </w:tcPr>
          <w:p>
            <w:pPr>
              <w:jc w:val="right"/>
              <w:ind w:right="40"/>
              <w:spacing w:after="0"/>
              <w:rPr>
                <w:sz w:val="20"/>
                <w:szCs w:val="20"/>
                <w:color w:val="auto"/>
              </w:rPr>
            </w:pPr>
            <w:r>
              <w:rPr>
                <w:rFonts w:ascii="Arial" w:cs="Arial" w:eastAsia="Arial" w:hAnsi="Arial"/>
                <w:sz w:val="14"/>
                <w:szCs w:val="14"/>
                <w:b w:val="1"/>
                <w:bCs w:val="1"/>
                <w:color w:val="auto"/>
                <w:w w:val="90"/>
              </w:rPr>
              <w:t>December 25, 2016</w:t>
            </w:r>
          </w:p>
        </w:tc>
        <w:tc>
          <w:tcPr>
            <w:tcW w:w="0" w:type="dxa"/>
            <w:vAlign w:val="bottom"/>
          </w:tcPr>
          <w:p>
            <w:pPr>
              <w:spacing w:after="0"/>
              <w:rPr>
                <w:sz w:val="1"/>
                <w:szCs w:val="1"/>
                <w:color w:val="auto"/>
              </w:rPr>
            </w:pPr>
          </w:p>
        </w:tc>
      </w:tr>
      <w:tr>
        <w:trPr>
          <w:trHeight w:val="196"/>
        </w:trPr>
        <w:tc>
          <w:tcPr>
            <w:tcW w:w="4120" w:type="dxa"/>
            <w:vAlign w:val="bottom"/>
          </w:tcPr>
          <w:p>
            <w:pPr>
              <w:ind w:left="20"/>
              <w:spacing w:after="0"/>
              <w:rPr>
                <w:sz w:val="20"/>
                <w:szCs w:val="20"/>
                <w:color w:val="auto"/>
              </w:rPr>
            </w:pPr>
            <w:r>
              <w:rPr>
                <w:rFonts w:ascii="Arial" w:cs="Arial" w:eastAsia="Arial" w:hAnsi="Arial"/>
                <w:sz w:val="16"/>
                <w:szCs w:val="16"/>
                <w:color w:val="auto"/>
              </w:rPr>
              <w:t>Consolidated Statements of Operations Data:</w:t>
            </w:r>
          </w:p>
        </w:tc>
        <w:tc>
          <w:tcPr>
            <w:tcW w:w="4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541.9</w:t>
            </w: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203.2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169.7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166"/>
        </w:trPr>
        <w:tc>
          <w:tcPr>
            <w:tcW w:w="4120" w:type="dxa"/>
            <w:vAlign w:val="bottom"/>
          </w:tcPr>
          <w:p>
            <w:pPr>
              <w:ind w:left="20"/>
              <w:spacing w:after="0" w:line="166" w:lineRule="exact"/>
              <w:rPr>
                <w:sz w:val="20"/>
                <w:szCs w:val="20"/>
                <w:color w:val="auto"/>
              </w:rPr>
            </w:pPr>
            <w:r>
              <w:rPr>
                <w:rFonts w:ascii="Arial" w:cs="Arial" w:eastAsia="Arial" w:hAnsi="Arial"/>
                <w:sz w:val="16"/>
                <w:szCs w:val="16"/>
                <w:color w:val="auto"/>
              </w:rPr>
              <w:t>Provision (benefit) for income taxes from continuing</w:t>
            </w:r>
          </w:p>
        </w:tc>
        <w:tc>
          <w:tcPr>
            <w:tcW w:w="4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Arial" w:cs="Arial" w:eastAsia="Arial" w:hAnsi="Arial"/>
                <w:sz w:val="16"/>
                <w:szCs w:val="16"/>
                <w:color w:val="auto"/>
              </w:rPr>
              <w:t>operations</w:t>
            </w:r>
          </w:p>
        </w:tc>
        <w:tc>
          <w:tcPr>
            <w:tcW w:w="4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Income (loss) from discontinued operations</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w w:val="94"/>
              </w:rPr>
              <w:t>Less: Net income (loss) attributable to noncontrolling interest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Kratos</w:t>
            </w: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13"/>
        </w:trPr>
        <w:tc>
          <w:tcPr>
            <w:tcW w:w="5540" w:type="dxa"/>
            <w:vAlign w:val="bottom"/>
            <w:gridSpan w:val="4"/>
          </w:tcPr>
          <w:p>
            <w:pPr>
              <w:ind w:left="20"/>
              <w:spacing w:after="0"/>
              <w:rPr>
                <w:sz w:val="20"/>
                <w:szCs w:val="20"/>
                <w:color w:val="auto"/>
              </w:rPr>
            </w:pPr>
            <w:r>
              <w:rPr>
                <w:rFonts w:ascii="Arial" w:cs="Arial" w:eastAsia="Arial" w:hAnsi="Arial"/>
                <w:sz w:val="16"/>
                <w:szCs w:val="16"/>
                <w:color w:val="auto"/>
                <w:w w:val="94"/>
              </w:rPr>
              <w:t>Income (loss) from continuing operations per common share attributable to Kratos:</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(0.94)</w:t>
            </w: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Diluted</w:t>
            </w: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(0.52)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(0.94)</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Income (loss) from discontinued operations per common share:</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Basic</w:t>
            </w: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w w:val="97"/>
              </w:rPr>
              <w:t>Net income (loss) per common share attributable to Kratos:</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Diluted</w:t>
            </w: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(0.48)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(0.99)</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Basic</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453"/>
        </w:trPr>
        <w:tc>
          <w:tcPr>
            <w:tcW w:w="4120" w:type="dxa"/>
            <w:vAlign w:val="bottom"/>
          </w:tcPr>
          <w:p>
            <w:pPr>
              <w:spacing w:after="0"/>
              <w:rPr>
                <w:sz w:val="24"/>
                <w:szCs w:val="24"/>
                <w:color w:val="auto"/>
              </w:rPr>
            </w:pP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27, 2020</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29, 2019</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30, 2018</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Pr>
          <w:p>
            <w:pPr>
              <w:spacing w:after="0"/>
              <w:rPr>
                <w:sz w:val="24"/>
                <w:szCs w:val="24"/>
                <w:color w:val="auto"/>
              </w:rPr>
            </w:pPr>
          </w:p>
        </w:tc>
        <w:tc>
          <w:tcPr>
            <w:tcW w:w="1280" w:type="dxa"/>
            <w:vAlign w:val="bottom"/>
          </w:tcPr>
          <w:p>
            <w:pPr>
              <w:jc w:val="right"/>
              <w:ind w:right="40"/>
              <w:spacing w:after="0"/>
              <w:rPr>
                <w:sz w:val="20"/>
                <w:szCs w:val="20"/>
                <w:color w:val="auto"/>
              </w:rPr>
            </w:pPr>
            <w:r>
              <w:rPr>
                <w:rFonts w:ascii="Arial" w:cs="Arial" w:eastAsia="Arial" w:hAnsi="Arial"/>
                <w:sz w:val="14"/>
                <w:szCs w:val="14"/>
                <w:b w:val="1"/>
                <w:bCs w:val="1"/>
                <w:color w:val="auto"/>
                <w:w w:val="90"/>
              </w:rPr>
              <w:t>December 25, 2016</w:t>
            </w:r>
          </w:p>
        </w:tc>
        <w:tc>
          <w:tcPr>
            <w:tcW w:w="0" w:type="dxa"/>
            <w:vAlign w:val="bottom"/>
          </w:tcPr>
          <w:p>
            <w:pPr>
              <w:spacing w:after="0"/>
              <w:rPr>
                <w:sz w:val="1"/>
                <w:szCs w:val="1"/>
                <w:color w:val="auto"/>
              </w:rPr>
            </w:pPr>
          </w:p>
        </w:tc>
      </w:tr>
      <w:tr>
        <w:trPr>
          <w:trHeight w:val="199"/>
        </w:trPr>
        <w:tc>
          <w:tcPr>
            <w:tcW w:w="4120" w:type="dxa"/>
            <w:vAlign w:val="bottom"/>
          </w:tcPr>
          <w:p>
            <w:pPr>
              <w:ind w:left="20"/>
              <w:spacing w:after="0"/>
              <w:rPr>
                <w:sz w:val="20"/>
                <w:szCs w:val="20"/>
                <w:color w:val="auto"/>
              </w:rPr>
            </w:pPr>
            <w:r>
              <w:rPr>
                <w:rFonts w:ascii="Arial" w:cs="Arial" w:eastAsia="Arial" w:hAnsi="Arial"/>
                <w:sz w:val="16"/>
                <w:szCs w:val="16"/>
                <w:color w:val="auto"/>
              </w:rPr>
              <w:t>Consolidated Balance Sheet Data:</w:t>
            </w:r>
          </w:p>
        </w:tc>
        <w:tc>
          <w:tcPr>
            <w:tcW w:w="4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Working capital</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567.2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339.5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176.5</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948.6</w:t>
            </w: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Short-term debt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431.0</w:t>
            </w: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Arial" w:cs="Arial" w:eastAsia="Arial" w:hAnsi="Arial"/>
                <w:sz w:val="16"/>
                <w:szCs w:val="16"/>
                <w:color w:val="auto"/>
              </w:rPr>
              <w:t>Total stockholders’ equity</w:t>
            </w: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925.3</w:t>
            </w:r>
          </w:p>
        </w:tc>
        <w:tc>
          <w:tcPr>
            <w:tcW w:w="10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574.1</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519.3</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511.5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276.4</w:t>
            </w:r>
          </w:p>
        </w:tc>
        <w:tc>
          <w:tcPr>
            <w:tcW w:w="0" w:type="dxa"/>
            <w:vAlign w:val="bottom"/>
          </w:tcPr>
          <w:p>
            <w:pPr>
              <w:spacing w:after="0"/>
              <w:rPr>
                <w:sz w:val="1"/>
                <w:szCs w:val="1"/>
                <w:color w:val="auto"/>
              </w:rPr>
            </w:pPr>
          </w:p>
        </w:tc>
      </w:tr>
    </w:tbl>
    <w:p>
      <w:pPr>
        <w:spacing w:after="0" w:line="3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2016 Consolidated Balance Sheet Data includes our equity offering of 13.4 million shares of common stock, which generated net proceeds of $76.2 million and our use of $14.1 million of the net proceeds from the offering to buy back</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4" w:name="page45"/>
    <w:bookmarkEnd w:id="44"/>
    <w:p>
      <w:pPr>
        <w:ind w:right="60"/>
        <w:spacing w:after="0" w:line="286" w:lineRule="auto"/>
        <w:rPr>
          <w:sz w:val="20"/>
          <w:szCs w:val="20"/>
          <w:color w:val="auto"/>
        </w:rPr>
      </w:pPr>
      <w:r>
        <w:rPr>
          <w:rFonts w:ascii="Arial" w:cs="Arial" w:eastAsia="Arial" w:hAnsi="Arial"/>
          <w:sz w:val="17"/>
          <w:szCs w:val="17"/>
          <w:color w:val="auto"/>
        </w:rPr>
        <w:t>and redeem approximately $14.5 million of our 7% Notes. The 2016 Consolidated Statement of Operations Data and Consolidated Balance Sheet Data were impacted by an $18.7 million loss accrual recorded in 2016 on the LCASD cost share contract, which is expected to be incurred by us over the period of performance of the contract, and was incurred in order to retain the intellectual property rights for the new LCASD platform.</w:t>
      </w:r>
    </w:p>
    <w:p>
      <w:pPr>
        <w:spacing w:after="0" w:line="19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2017 Consolidated Statement of Operations Data and Consolidated Balance Sheet Data includes a $24.2 million impairment of the carrying value of the goodwill of our DRSS reporting unit within our KGS segment and a $17.3 million loss on extinguishment of debt related to the refinancing of the remaining $372.8 million outstanding balance of the 7% Notes. The 2017 Consolidated Balance Sheet Data also includes our equity offerings of approximately 28.0 million shares of common stock, which generated net proceeds of $269.1 million and our use of $64.0 million of the net proceeds from the offering to buy back and redeem approximately $62.7 million of our 7% Notes. The 2017 Consolidated Balance Sheet Data also reflects the refinancing of the remaining $372.8 million of our 7% Notes with $300.0 million of 6.5% Notes. We incurred debt issuance costs of $6.6 million associated with the 6.5% Notes. We utilized the net proceeds from the 6.5% Notes, along with cash of $89.7 million to extinguish the 7% Notes.</w:t>
      </w:r>
    </w:p>
    <w:p>
      <w:pPr>
        <w:spacing w:after="0" w:line="193"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 xml:space="preserve">The 2018 Consolidated Statement of Operations Data and Consolidated Balance Sheet Data includes the disposition of the PSS business which was disposed of on June 11, 2018 and is reflected as a discontinued operation. The 2018 Consolidated Statement of Operations Data and Consolidated Balance Sheet Data also reflects the adoption of FASB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effective January 1, 2018.</w:t>
      </w:r>
    </w:p>
    <w:p>
      <w:pPr>
        <w:spacing w:after="0" w:line="17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The 2019 Consolidated Statement of Operations Data and Consolidated Balance Sheet Data includes the February 2019 acquisition of FTT as well as the adoption of FASB ASC 842, </w:t>
      </w:r>
      <w:r>
        <w:rPr>
          <w:rFonts w:ascii="Arial" w:cs="Arial" w:eastAsia="Arial" w:hAnsi="Arial"/>
          <w:sz w:val="18"/>
          <w:szCs w:val="18"/>
          <w:i w:val="1"/>
          <w:iCs w:val="1"/>
          <w:color w:val="auto"/>
        </w:rPr>
        <w:t>Leases</w:t>
      </w:r>
      <w:r>
        <w:rPr>
          <w:rFonts w:ascii="Arial" w:cs="Arial" w:eastAsia="Arial" w:hAnsi="Arial"/>
          <w:sz w:val="18"/>
          <w:szCs w:val="18"/>
          <w:color w:val="auto"/>
        </w:rPr>
        <w:t>, on December 31, 2018.</w:t>
      </w:r>
    </w:p>
    <w:p>
      <w:pPr>
        <w:spacing w:after="0" w:line="19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2020 Consolidated Statement of Operations Data and Consolidated Balance Sheet Data include the 2020 acquisitions of TDI (February), OPM (April), ASC Signal (June), and 5-D Systems (November), each as defined below. The 2020 Consolidated Balance Sheet Data also includes our equity offering of approximately 15.5 million shares of common stock, which generated net proceeds of approximately $240.4 million. The 2020 Consolidated Statement of Operations Data and Consolidated Balance Sheet Data includes an income tax benefit of $73.5 million for the year ended December 27, 2020 resulting from a non-cash benefit of $80.1 million related to the reversal of a significant portion of the Company’s valuation allowance on its U.S. deferred tax assets.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i w:val="1"/>
          <w:iCs w:val="1"/>
          <w:color w:val="auto"/>
        </w:rPr>
        <w:t xml:space="preserve">In addition to historical information, the following discussion contains forward-looking statements that are subject to risks and uncertainties. Our actual results may differ substantially from those expressed in or implied by any forward-looking statements herein due to a number of factors, including but not limited to the risks and uncertainties described in this Item 7, in Item 1A </w:t>
      </w:r>
      <w:r>
        <w:rPr>
          <w:rFonts w:ascii="Arial" w:cs="Arial" w:eastAsia="Arial" w:hAnsi="Arial"/>
          <w:sz w:val="17"/>
          <w:szCs w:val="17"/>
          <w:color w:val="auto"/>
        </w:rPr>
        <w:t>“</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 xml:space="preserve"> and elsewhere in this Annual Report.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20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our audited Consolidated Financial Statements and the related notes and other financial information appearing elsewhere in this Annual Report and other reports and filings made with the SEC.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7"/>
          <w:szCs w:val="17"/>
          <w:color w:val="auto"/>
        </w:rPr>
        <w:t>Kratos is a government contractor at the forefront of the DoD’s recapitalization of strategic weapon systems to address peer and near peer threats and its related Rapid Innovation Initiatives. Kratos is a leading technology, intellectual property, proprietary product and system company focused on the U.S. and its allies’ national security. Kratos is a recognized industry leader in the rapid development, demonstration and fielding of disruptive, transformative and high technology systems and products at an affordable cost. At Kratos, affordability is a technology. Kratos’ primary focus areas are unmanned systems, space and satellite communications, microwave electronics, cybersecurity/warfare, rocket, hypersonic and missile defense systems, turbine technologies, C5ISR Systems and training systems.</w:t>
      </w:r>
    </w:p>
    <w:p>
      <w:pPr>
        <w:spacing w:after="0" w:line="202"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We believe that our technology, intellectual property, proprietary products and designed-in positions on our customers’ programs, platforms and systems, and our ability to rapidly develop, demonstrate and field affordable leading technology systems gives us a competitive advantage. We believe that our extensive past performance qualifications and demonstrated ability to meet or exceed our customers’ demanding requirements creates a high barrier to entry into our markets. Our workforce is primarily engineering and technically oriented with a significant number of Kratos employees holding national</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5" w:name="page46"/>
    <w:bookmarkEnd w:id="45"/>
    <w:p>
      <w:pPr>
        <w:ind w:right="220"/>
        <w:spacing w:after="0" w:line="248" w:lineRule="auto"/>
        <w:rPr>
          <w:sz w:val="20"/>
          <w:szCs w:val="20"/>
          <w:color w:val="auto"/>
        </w:rPr>
      </w:pPr>
      <w:r>
        <w:rPr>
          <w:rFonts w:ascii="Arial" w:cs="Arial" w:eastAsia="Arial" w:hAnsi="Arial"/>
          <w:sz w:val="18"/>
          <w:szCs w:val="18"/>
          <w:color w:val="auto"/>
        </w:rPr>
        <w:t>security clearances. Much of our work is performed at customer locations, or in a secure manufacturing facility. Our primary end customers are national security related agencies. Our entire organization is focused on executing our strategy of being the leading technology and intellectual property based product and system company in our industry.</w:t>
      </w:r>
    </w:p>
    <w:p>
      <w:pPr>
        <w:spacing w:after="0" w:line="20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primary end customers are U.S. Government agencies, including the DoD, intelligence agencies, and other national and homeland security related agencies. We also conduct business with local, state and foreign governments and domestic and international commercial customers. In fiscal 2020, 2019 and 2018, we generated 73%, 71% and 72%, respectively, of our total revenues from contracts with the U.S. Government (including all branches of the U.S. military and including FMS), either as a prime contractor or a subcontractor. We believe our stable customer base, strong customer relationships, intellectual property, specialized and differentiated products, broad array of contract vehicles, “designed in” positions on strategic national security platforms, our targeted investments in strategic growth areas, large employee base possessing specialized skills, security clearances, specialized manufacturing facilities and equipment, extensive list of past performance qualifications, and significant management and operational capabilities position us for success.</w:t>
      </w:r>
    </w:p>
    <w:p>
      <w:pPr>
        <w:spacing w:after="0" w:line="21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were incorporated in the state of New York on December 19, 1994 and began operations in March 1995. We reincorporated in the state of Delaware in 1998.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Background</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December 27, 2020, the Consolidated Appropriations Act, 2021, was signed into law. The $2.3 trillion spending bill combines $900 billion in stimulus relief for the COVID-19 pandemic in the United States with a $1.4 trillion omnibus spending bill for the FY 2021 (combining 12 separate annual appropriations bills). The bills allocate $695.9 billion for the DoD, a decrease of $9.7 billion from FY 2020. The federal budget and debt ceiling are expected to continue to be the subject of considerable debate, which could have a significant impact on defense spending broadly and the Company’s programs in particular. The U.S. Government’s fiscal year ends September 30.</w:t>
      </w:r>
    </w:p>
    <w:p>
      <w:pPr>
        <w:spacing w:after="0" w:line="21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budget environment, including COVID-19 spending increases proposed by the new Biden administration, and uncertainty surrounding the debt ceiling and the appropriations process, remain significant short and long-term risks. Considerable uncertainty exists regarding how future budget and program decisions will unfold, including the defense spending priorities of the Administration and Congress and what challenges budget reductions (required by the BCA and otherwise) will present for the defense industry. If annual appropriations bills are not timely enacted, the U.S. Government may again operate under a CRA, restricting new contract or program starts, restricting increased funding or additional quantities on existing contracts, presenting resource allocation and forecasting challenges and placing limitations on some planned program budgets, and we may face another government shutdown of unknown duration. If a prolonged government shutdown of the DoD were to occur, it could result in program cancellations, disruptions and/or stop work orders and could limit the U.S. Government’s ability to effectively progress programs and to make timely payments, and our ability to perform on our U.S. Government contracts and successfully compete for new work.</w:t>
      </w:r>
    </w:p>
    <w:p>
      <w:pPr>
        <w:spacing w:after="0" w:line="20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believe continued budget pressures, CRAs or U.S. Government shutdowns would have serious negative consequences for the security of our country and the defense industrial base, including the Company and the customers, employees, suppliers, investors, and communities that rely on companies in the defense industrial base. It is likely budget and program decisions made in such an uncertain environment would have long-term implications for our Company and the entire defense industry.</w:t>
      </w:r>
    </w:p>
    <w:p>
      <w:pPr>
        <w:spacing w:after="0" w:line="214"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Additionally, funding for certain programs in which we currently participate may be reduced, delayed or cancelled, and budget uncertainty or funding cuts globally could adversely affect the viability of our partners, teammates, subcontractors and suppliers, and our employee base. While we believe that our business is well-positioned in areas that the DoD and other customers indicate are priorities for future defense spending, including in the 2018 and 2020 National Defense Strategy documents, the short and long-term impact of federal budgetary uncertainty, CRAs, the BCA, other defense spending cuts, challenges in the appropriations process, the debt ceiling and the ongoing fiscal debates remain uncertain. Such a challenging federal and DoD budgetary environment may negatively impact our business and programs and could have a material adverse effect on our forecasts, estimates, financial position, results of operations and/or cash flows.</w:t>
      </w:r>
    </w:p>
    <w:p>
      <w:pPr>
        <w:spacing w:after="0" w:line="204"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nature of our operations expose us to risks associated with pandemics, epidemics or other public health emergencies, such as the outbreak of COVID-19 in many countries across the globe, including the United States. In March 2020, the World Health Organization categorized COVID-19 as a pandemic, and the President of the United States declared the COVID-19 outbreak a national emergency. The outbreak has resulted in governments around the world, including the U.S. Government and state and local governments, implementing increasingly stringent measures to help control the spread of the virus, including quarantines, “shelter in place” and “stay at home” orders, travel restrictions, business curtailments, school</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46" w:name="page47"/>
    <w:bookmarkEnd w:id="46"/>
    <w:p>
      <w:pPr>
        <w:ind w:right="80"/>
        <w:spacing w:after="0" w:line="277" w:lineRule="auto"/>
        <w:rPr>
          <w:sz w:val="20"/>
          <w:szCs w:val="20"/>
          <w:color w:val="auto"/>
        </w:rPr>
      </w:pPr>
      <w:r>
        <w:rPr>
          <w:rFonts w:ascii="Arial" w:cs="Arial" w:eastAsia="Arial" w:hAnsi="Arial"/>
          <w:sz w:val="18"/>
          <w:szCs w:val="18"/>
          <w:color w:val="auto"/>
        </w:rPr>
        <w:t>closures, and other measures. In addition, governments and central banks in several parts of the world have enacted fiscal and monetary stimulus measures to counteract the impacts of COVID-19.</w:t>
      </w:r>
    </w:p>
    <w:p>
      <w:pPr>
        <w:spacing w:after="0" w:line="19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are a company operating in a “critical infrastructure industry”, as defined by the U.S. Department of Homeland Security. Consistent with federal guidelines and with state and local orders to date, we currently continue to operate, including our international operations. Notwithstanding our continued operations, COVID-19 has had negative impacts on certain of our operations, our supply chain, vendors, transportation networks and customers, which have reduced certain of our sales and our margins, including as a result of preventative and precautionary measures that we, our suppliers, other businesses and governments are taking. The COVID-19 outbreak is a widespread public health crisis that is adversely affecting the economies and financial markets globally. Any resulting economic downturn could adversely affect demand for our products. The progression of this matter could also negatively impact our business or results of operations through the temporary or extended closure of our operating locations or those of our customers or suppliers.</w:t>
      </w:r>
    </w:p>
    <w:p>
      <w:pPr>
        <w:spacing w:after="0" w:line="193"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The ability of our employees, our suppliers’ employees and our customers’ employees to work may be significantly impacted by individuals contracting or being exposed to COVID-19, or as a result of the control measures noted above, which may significantly hamper our production and operations, including throughout the supply chain. In addition to the $900 billion in stimulus relief for the COVID-19 pandemic included in the current spending bill, on March 27, 2020, the CARES Act, a $2 trillion economic relief bill was signed into law. We are continuing to evaluate the impact of the CARES Act including related stimulus and economic relief actions on our business.</w:t>
      </w:r>
    </w:p>
    <w:p>
      <w:pPr>
        <w:spacing w:after="0" w:line="203"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Since the end of our first quarter, COVID-19 has continued to impact our customers, markets and operations, including supply chain disruptions, delays of certain supplier deliveries, difficulties gaining access to certain locations, difficulties gaining access to customers, and decreased demand requirements of certain of our commercial aero, power and satcom customers. Importantly, COVID-19 customer and contractor-related travel and social distancing restrictions have delayed a number of our target drone, tactical drone and rocket system programs, missions and exercises. The extent to which COVID-19 may further impact our business depends on future developments, which are highly uncertain and unpredictable, including new information concerning the severity of the outbreak and the effectiveness of actions globally to contain or mitigate its effects. While we currently do not expect this matter to have a material impact on our results of operations, cash flows and financial position, the current level of uncertainty over the economic, business and operational impacts of COVID-19 means the related financial impact cannot be reasonably estimated at this time. Our Consolidated Financial Statements and Management’s Discussion and Analysis of Financial Condition and Results of Operations reflect estimates and assumptions made by management as of December 27, 2020. Events and changes in circumstances arising after December 27, 2020, including those resulting from the continuing impacts of COVID-19, will be reflected in management’s estimates for future periods.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Reporting Segments</w:t>
      </w:r>
    </w:p>
    <w:p>
      <w:pPr>
        <w:spacing w:after="0" w:line="252" w:lineRule="exact"/>
        <w:rPr>
          <w:sz w:val="20"/>
          <w:szCs w:val="20"/>
          <w:color w:val="auto"/>
        </w:rPr>
      </w:pPr>
    </w:p>
    <w:p>
      <w:pPr>
        <w:ind w:right="240" w:firstLine="648"/>
        <w:spacing w:after="0" w:line="272" w:lineRule="auto"/>
        <w:rPr>
          <w:sz w:val="20"/>
          <w:szCs w:val="20"/>
          <w:color w:val="auto"/>
        </w:rPr>
      </w:pPr>
      <w:r>
        <w:rPr>
          <w:rFonts w:ascii="Arial" w:cs="Arial" w:eastAsia="Arial" w:hAnsi="Arial"/>
          <w:sz w:val="16"/>
          <w:szCs w:val="16"/>
          <w:color w:val="auto"/>
        </w:rPr>
        <w:t>We operate in two reportable segments. The KGS reportable segment is comprised of an aggregation of KGS operating segments, including its microwave electronic products, space, training and cybersecurity, C5ISR/modular systems, turbine technologies and defense and rocket support services operating segments. The US reportable segment consists of our unmanned aerial, unmanned ground and unmanned seaborne system products. Our KGS and US segments provide products, solutions and services for mission critical national security programs. KGS and US customers primarily include national security related agencies, the DoD, intelligence agencies and classified agencies, and to a lesser degree, international government agencies and domestic and international commercial customers. We organize our operating segments based primarily on the nature of the products, solutions and services offered. For additional information regarding our reportable segments, see Note 14 of the Notes to Consolidated Financial Statements. From a customer and solutions perspective, we view our business as an integrated whole, leveraging skills and assets wherever possible.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On February 28, 2018, the Company entered into a Stock Purchase Agreement to sell the operations of Kratos Public</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Safety &amp; Security Solutions, Inc., a Delaware corporation and wholly owned subsidiary of the Company (“PSS”), to Securitas Electronic Security, Inc., a Delaware corporation (“Buyer”). On June 11, 2018, we completed the sale of all of the issued and outstanding capital stock of PSS to Buyer for a purchase price of $69 million in cash, subject to a closing net working capital adjustment (the “Transaction”). To date, we have received approximately $70 million of aggregate net cash proceeds from the Transaction, after taking into account amounts that were paid by us pursuant to a negotiated transaction services agreement between us and the Buyer, receipt of approximately $6.8 million in net working capital retained by the Company, and associated transaction fees and expenses, excluding the impact of the final settlement and determination of the closing net working capital adjustment. We are currently in dispute with the Buyer regarding the closing net working capital adjustment.</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7" w:name="page48"/>
    <w:bookmarkEnd w:id="47"/>
    <w:p>
      <w:pPr>
        <w:ind w:right="60"/>
        <w:spacing w:after="0" w:line="270" w:lineRule="auto"/>
        <w:rPr>
          <w:sz w:val="20"/>
          <w:szCs w:val="20"/>
          <w:color w:val="auto"/>
        </w:rPr>
      </w:pPr>
      <w:r>
        <w:rPr>
          <w:rFonts w:ascii="Arial" w:cs="Arial" w:eastAsia="Arial" w:hAnsi="Arial"/>
          <w:sz w:val="17"/>
          <w:szCs w:val="17"/>
          <w:color w:val="auto"/>
        </w:rPr>
        <w:t>The amount in dispute is approximately $8 million. The Company has recorded a net break-even on the sale of the PSS business which includes the aggregate net proceeds described above that have been collected, excluding the impact of the final settlement and determination of the closing net working capital adjustment. The resolution of the ongoing dispute will be recorded in future periods when resolved.</w:t>
      </w:r>
    </w:p>
    <w:p>
      <w:pPr>
        <w:spacing w:after="0" w:line="19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additional information regarding discontinued operations, see Note 9 of the Notes to Consolidated Financial Statements contained within this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Statement Concepts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27, 2020, we consider the following factors to be important in understanding our financial statements.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Company’s business with the U.S. Government and prime contractors is generally performed under fixed-price, cost reimbursable, or time and materials contracts. Cost reimbursable contracts for the U.S. Government provide for reimbursement of costs plus the payment of a fee. Some cost reimbursable contracts include award and incentive fees that are awarded based on performance on the contract. Under time and materials contracts, we are reimbursed for labor hours at negotiated hourly billing rates and reimbursed for travel and other direct expenses at actual costs plus applied general and administrative expenses.</w:t>
      </w:r>
    </w:p>
    <w:p>
      <w:pPr>
        <w:spacing w:after="0" w:line="21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For the majority of contracts, we satisfy the underlying performance obligations over time as the customer obtains control or receives benefits as work is performed on the contract. As a result, under ASC 606 revenue is recognized over a period of time utilizing the percentage-of-completion cost-to-cost method.</w:t>
      </w:r>
    </w:p>
    <w:p>
      <w:pPr>
        <w:spacing w:after="0" w:line="211"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In accordance with ASC 606, we evaluate whether a contract with a customer exists by evaluating a number of criteria including whether collection of consideration is reasonably assured; comprehensive collection history; results of our communications with customers; the current financial position of the customer; and the relevant economic conditions in the customer’s country. If we have had no prior experience with the customer, we may review reports from various credit organizations to ensure that the customer has a history of paying its creditors in a reliable and effective manner. If the financial condition of our customers were to deteriorate and adversely affect their financial ability to make payments, allowances would be required.</w:t>
      </w:r>
    </w:p>
    <w:p>
      <w:pPr>
        <w:spacing w:after="0" w:line="188"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We monitor our policies and procedures with respect to our contracts on a regular basis to ensure consistent application under similar terms and conditions as well as compliance with all applicable government regulations. In addition, costs incurred and allocated to contracts with the U.S. Government are routinely audited by the DCAA.</w:t>
      </w:r>
    </w:p>
    <w:p>
      <w:pPr>
        <w:spacing w:after="0" w:line="211"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We manage and assess the performance of our businesses based on our performance on individual contracts and programs obtained generally from government organizations with consideration given to our “Critical Accounting Principles and Estimates” discussed below. Due to the Federal Acquisition Regulation rules that govern our business, most types of costs 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revenues and operating income, including the effects of significant changes in operating income. Changes in contract revenue and cost estimates are reviewed on a contract-by-contract basis and are revised periodically throughout the life of the contract such that adjustments to profit resulting from revisions are made cumulative to the date of the revision in accordance with accounting principles generally accepted in the U.S. (“GAAP”). Significant management judgments and estimates, including the estimated costs to complete the project, which determine the project’s percentage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21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Effective December 31, 2018, we adopted the requirements of ASU 2016-02, </w:t>
      </w:r>
      <w:r>
        <w:rPr>
          <w:rFonts w:ascii="Arial" w:cs="Arial" w:eastAsia="Arial" w:hAnsi="Arial"/>
          <w:sz w:val="18"/>
          <w:szCs w:val="18"/>
          <w:i w:val="1"/>
          <w:iCs w:val="1"/>
          <w:color w:val="auto"/>
        </w:rPr>
        <w:t>Leases</w:t>
      </w:r>
      <w:r>
        <w:rPr>
          <w:rFonts w:ascii="Arial" w:cs="Arial" w:eastAsia="Arial" w:hAnsi="Arial"/>
          <w:sz w:val="18"/>
          <w:szCs w:val="18"/>
          <w:color w:val="auto"/>
        </w:rPr>
        <w:t>, also referred to as “ASC 842”, utilizing the optional transition method, as discussed in Note 1 to the accompanying Consolidated Financial Statements. ASC 842 requires that lessees recognize assets and liabilities for the rights and obligations underlying leases with a lease term of more than one year. The reported results for 2019 and 2020 reflect the application of ASC 842 guidance while the reported results for periods prior to December 31, 2018 were prepared under the guidance of FASB Topic 840, Leases. The adoption of ASC 842 represented a change in accounting principle.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Year Ended December 27, 2020 to the Year Ended December 29, 2019</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by reportable segment for the years ended December 27, 2020 and December 29, 2019 are as follows (in millions):</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5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Kratos Government Solutions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5500" w:type="dxa"/>
            <w:vAlign w:val="bottom"/>
          </w:tcPr>
          <w:p>
            <w:pPr>
              <w:ind w:left="200"/>
              <w:spacing w:after="0"/>
              <w:rPr>
                <w:sz w:val="20"/>
                <w:szCs w:val="20"/>
                <w:color w:val="auto"/>
              </w:rPr>
            </w:pPr>
            <w:r>
              <w:rPr>
                <w:rFonts w:ascii="Arial" w:cs="Arial" w:eastAsia="Arial" w:hAnsi="Arial"/>
                <w:sz w:val="18"/>
                <w:szCs w:val="18"/>
                <w:color w:val="auto"/>
              </w:rPr>
              <w:t>Service revenues</w:t>
            </w:r>
          </w:p>
        </w:tc>
        <w:tc>
          <w:tcPr>
            <w:tcW w:w="820" w:type="dxa"/>
            <w:vAlign w:val="bottom"/>
          </w:tcPr>
          <w:p>
            <w:pPr>
              <w:jc w:val="right"/>
              <w:ind w:right="632"/>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248.7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sales</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312.0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10.1 %</w:t>
            </w: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Total Kratos Government Solutions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560.7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0.8 %</w:t>
            </w:r>
          </w:p>
        </w:tc>
      </w:tr>
      <w:tr>
        <w:trPr>
          <w:trHeight w:val="22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Unmanned Systems - product sales</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15.9 %</w:t>
            </w:r>
          </w:p>
        </w:tc>
      </w:tr>
      <w:tr>
        <w:trPr>
          <w:trHeight w:val="223"/>
        </w:trPr>
        <w:tc>
          <w:tcPr>
            <w:tcW w:w="550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82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747.7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4.2 %</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r>
      <w:tr>
        <w:trPr>
          <w:trHeight w:val="223"/>
        </w:trPr>
        <w:tc>
          <w:tcPr>
            <w:tcW w:w="5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Total service revenues</w:t>
            </w:r>
          </w:p>
        </w:tc>
        <w:tc>
          <w:tcPr>
            <w:tcW w:w="820" w:type="dxa"/>
            <w:vAlign w:val="bottom"/>
          </w:tcPr>
          <w:p>
            <w:pPr>
              <w:jc w:val="right"/>
              <w:ind w:right="632"/>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248.7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product sales</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499.0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12.2 %</w:t>
            </w:r>
          </w:p>
        </w:tc>
      </w:tr>
      <w:tr>
        <w:trPr>
          <w:trHeight w:val="223"/>
        </w:trPr>
        <w:tc>
          <w:tcPr>
            <w:tcW w:w="550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82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747.7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4.2 %</w:t>
            </w:r>
          </w:p>
        </w:tc>
      </w:tr>
      <w:tr>
        <w:trPr>
          <w:trHeight w:val="21"/>
        </w:trPr>
        <w:tc>
          <w:tcPr>
            <w:tcW w:w="5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310" w:lineRule="exact"/>
        <w:rPr>
          <w:sz w:val="20"/>
          <w:szCs w:val="20"/>
          <w:color w:val="auto"/>
        </w:rPr>
      </w:pPr>
    </w:p>
    <w:p>
      <w:pPr>
        <w:ind w:right="60" w:firstLine="648"/>
        <w:spacing w:after="0" w:line="254" w:lineRule="auto"/>
        <w:rPr>
          <w:sz w:val="20"/>
          <w:szCs w:val="20"/>
          <w:color w:val="auto"/>
        </w:rPr>
      </w:pPr>
      <w:r>
        <w:rPr>
          <w:rFonts w:ascii="Arial" w:cs="Arial" w:eastAsia="Arial" w:hAnsi="Arial"/>
          <w:sz w:val="17"/>
          <w:szCs w:val="17"/>
          <w:color w:val="auto"/>
        </w:rPr>
        <w:t>Revenues increased $30.2 million to $747.7 million for the year ended December 27, 2020 from $717.5 million for the year ended December 29, 2019. Revenues in our KGS segment increased $4.6 million due to revenues from the recent ASC Signal acquisition, which contributed an aggregate of approximately $21.9 million, and increases in our microwave products, defense and rocket support and C5ISR businesses of approximately $17.9 million. These increases were offset by reduced revenues in our legacy services, commercial satellite and training solutions business of $36.2 million primarily reflecting the completion and rescoping of certain international and foreign military sales contracts and reductions in our commercial satellite business as a result of the completion of large foreign satellite infrastructure deployments and from impacts resulting from COVID-19. Revenues in our US segment increased $25.6 million primarily due to work performed on certain confidential drone programs, and due to contributions of approximately $2.5 million from the recent TDI and 5-D acquisitions.</w:t>
      </w:r>
    </w:p>
    <w:p>
      <w:pPr>
        <w:spacing w:after="0" w:line="208" w:lineRule="exact"/>
        <w:rPr>
          <w:sz w:val="20"/>
          <w:szCs w:val="20"/>
          <w:color w:val="auto"/>
        </w:rPr>
      </w:pPr>
    </w:p>
    <w:p>
      <w:pPr>
        <w:ind w:right="40" w:firstLine="648"/>
        <w:spacing w:after="0" w:line="254" w:lineRule="auto"/>
        <w:rPr>
          <w:sz w:val="20"/>
          <w:szCs w:val="20"/>
          <w:color w:val="auto"/>
        </w:rPr>
      </w:pPr>
      <w:r>
        <w:rPr>
          <w:rFonts w:ascii="Arial" w:cs="Arial" w:eastAsia="Arial" w:hAnsi="Arial"/>
          <w:sz w:val="17"/>
          <w:szCs w:val="17"/>
          <w:color w:val="auto"/>
        </w:rPr>
        <w:t>Product sales increased $54.1 million to $499.0 million for the year ended December 27, 2020 from $444.9 million for the year ended December 29, 2019, primarily as a result of increased production activity in our US segment, increased production in our microwave products, modular systems and rocket support businesses and increases from our recent ASC Signal acquisition, offset partially by reductions in our commercial satellite and training solutions businesses. As a percentage of total revenue, product sales were 66.7% for the year ended December 27, 2020, as compared to 62.0% for the year ended December 29, 2019. Service revenues decreased by $23.9 million to $248.7 million for the year ended December 27, 2020, from $272.6 million for the year ended December 29, 2019. The decrease was primarily related to the completion or rescoping of certain international contracts in our training solutions business, reductions in our commercial space and satellite communications business primarily due to COVID-19 related travel restrictions, and reduced demand in our commercial turbine business as a result of COVID-19.</w:t>
      </w:r>
    </w:p>
    <w:p>
      <w:pPr>
        <w:spacing w:after="0" w:line="208" w:lineRule="exact"/>
        <w:rPr>
          <w:sz w:val="20"/>
          <w:szCs w:val="20"/>
          <w:color w:val="auto"/>
        </w:rPr>
      </w:pPr>
    </w:p>
    <w:p>
      <w:pPr>
        <w:ind w:right="320" w:firstLine="648"/>
        <w:spacing w:after="0" w:line="324"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increased to $544.5 million for the year ended December 27, 2020, from $527.5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29, 2019. The $17.0 million increase in cost of revenues was primarily a result of the overall increase in revenue discussed above.</w:t>
      </w:r>
    </w:p>
    <w:p>
      <w:pPr>
        <w:spacing w:after="0" w:line="151" w:lineRule="exact"/>
        <w:rPr>
          <w:sz w:val="20"/>
          <w:szCs w:val="20"/>
          <w:color w:val="auto"/>
        </w:rPr>
      </w:pPr>
    </w:p>
    <w:p>
      <w:pPr>
        <w:ind w:right="60" w:firstLine="648"/>
        <w:spacing w:after="0" w:line="268" w:lineRule="auto"/>
        <w:rPr>
          <w:sz w:val="20"/>
          <w:szCs w:val="20"/>
          <w:color w:val="auto"/>
        </w:rPr>
      </w:pPr>
      <w:r>
        <w:rPr>
          <w:rFonts w:ascii="Arial" w:cs="Arial" w:eastAsia="Arial" w:hAnsi="Arial"/>
          <w:sz w:val="16"/>
          <w:szCs w:val="16"/>
          <w:color w:val="auto"/>
        </w:rPr>
        <w:t>Gross margin percentage increased to 27.2% for the year ended December 27, 2020, compared to 26.5% for the year ended December 29, 2019. Margins on services decreased to 26.6% for the year ended December 27, 2020, from 29.6% for the year ended December 29, 2019, due primarily to a less favorable mix of revenues, primarily in our Space, Training &amp; Cyber business and our recently acquired FTT business. Margins on product sales increased for the year ended December 27, 2020, as compared to December 29, 2019 to 27.5% from 24.6%, respectively, primarily due to a more favorable mix of certain programs and products in more mature lifecycles. Margins in the KGS segment increased to 29.2% for the year ended December 27, 2020, from</w:t>
      </w:r>
    </w:p>
    <w:p>
      <w:pPr>
        <w:spacing w:after="0" w:line="1" w:lineRule="exact"/>
        <w:rPr>
          <w:sz w:val="20"/>
          <w:szCs w:val="20"/>
          <w:color w:val="auto"/>
        </w:rPr>
      </w:pPr>
    </w:p>
    <w:p>
      <w:pPr>
        <w:jc w:val="both"/>
        <w:ind w:right="120"/>
        <w:spacing w:after="0" w:line="283" w:lineRule="auto"/>
        <w:rPr>
          <w:sz w:val="20"/>
          <w:szCs w:val="20"/>
          <w:color w:val="auto"/>
        </w:rPr>
      </w:pPr>
      <w:r>
        <w:rPr>
          <w:rFonts w:ascii="Arial" w:cs="Arial" w:eastAsia="Arial" w:hAnsi="Arial"/>
          <w:sz w:val="16"/>
          <w:szCs w:val="16"/>
          <w:color w:val="auto"/>
        </w:rPr>
        <w:t>28.3% for the year ended December 29, 2019, primarily due to a more favorable mix of products including products in more mature production lifecycles during the year ended December 27, 2020. Margins in the US segment increased to 21.0% for the year ended December 27, 2020 from 20.4% for the year ended December 29, 2019, primarily due to a more favorable mix of products produced and shipped in the year ended December 27, 2020.</w:t>
      </w:r>
    </w:p>
    <w:p>
      <w:pPr>
        <w:spacing w:after="0" w:line="184"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i w:val="1"/>
          <w:iCs w:val="1"/>
          <w:color w:val="auto"/>
        </w:rPr>
        <w:t xml:space="preserve">Selling, general and administrative expenses (SG&amp;A). </w:t>
      </w:r>
      <w:r>
        <w:rPr>
          <w:rFonts w:ascii="Arial" w:cs="Arial" w:eastAsia="Arial" w:hAnsi="Arial"/>
          <w:sz w:val="18"/>
          <w:szCs w:val="18"/>
          <w:color w:val="auto"/>
        </w:rPr>
        <w:t>SG&amp;A increased $13.7 million to $144.5 million for the year ended December 27, 2020,</w:t>
      </w:r>
      <w:r>
        <w:rPr>
          <w:rFonts w:ascii="Arial" w:cs="Arial" w:eastAsia="Arial" w:hAnsi="Arial"/>
          <w:sz w:val="18"/>
          <w:szCs w:val="18"/>
          <w:i w:val="1"/>
          <w:iCs w:val="1"/>
          <w:color w:val="auto"/>
        </w:rPr>
        <w:t xml:space="preserve"> </w:t>
      </w:r>
      <w:r>
        <w:rPr>
          <w:rFonts w:ascii="Arial" w:cs="Arial" w:eastAsia="Arial" w:hAnsi="Arial"/>
          <w:sz w:val="18"/>
          <w:szCs w:val="18"/>
          <w:color w:val="auto"/>
        </w:rPr>
        <w:t>from $130.8 million for the year ended December 29, 2019. As a percentage of revenues, SG&amp;A</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9" w:name="page50"/>
    <w:bookmarkEnd w:id="49"/>
    <w:p>
      <w:pPr>
        <w:ind w:right="680"/>
        <w:spacing w:after="0" w:line="324" w:lineRule="auto"/>
        <w:rPr>
          <w:sz w:val="20"/>
          <w:szCs w:val="20"/>
          <w:color w:val="auto"/>
        </w:rPr>
      </w:pPr>
      <w:r>
        <w:rPr>
          <w:rFonts w:ascii="Arial" w:cs="Arial" w:eastAsia="Arial" w:hAnsi="Arial"/>
          <w:sz w:val="16"/>
          <w:szCs w:val="16"/>
          <w:color w:val="auto"/>
        </w:rPr>
        <w:t>increased to 19.3% for the year ended December 27, 2020 from 18.2% for the year ended December 29, 2019 due primarily to an increase in stock compensation expense from $11.0 million in the year ended December 29, 2019 to $21.0 million in the year ended December 27, 2020.</w:t>
      </w:r>
    </w:p>
    <w:p>
      <w:pPr>
        <w:spacing w:after="0" w:line="15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were $27.0 million for the year ended December 27, 2020 and $18.0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29, 2019. As a percentage of revenues, R&amp;D increased to 3.6% of revenues for the year ended December 27, 2020, from 2.5% of revenues for the year ended December 29, 2019. R&amp;D expenses are made by the Company, typically in conjunction with our customers, for the Company to achieve a “first to market” position with our products or technology. We also invest in R&amp;D expenses to achieve market leading “designed in” positions on major programs, platforms or systems.</w:t>
      </w:r>
    </w:p>
    <w:p>
      <w:pPr>
        <w:spacing w:after="0" w:line="21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Restructuring expenses and other. </w:t>
      </w:r>
      <w:r>
        <w:rPr>
          <w:rFonts w:ascii="Arial" w:cs="Arial" w:eastAsia="Arial" w:hAnsi="Arial"/>
          <w:sz w:val="18"/>
          <w:szCs w:val="18"/>
          <w:color w:val="auto"/>
        </w:rPr>
        <w:t>The expense of $0.7 million for the year ended December 27, 2020, primarily consisted of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costs related to personnel reduction actions taken during the year. The expense of $0.9 million for the year ended December 29, 2019 primarily consisted of approximately $0.6 million in legal costs related to a dispute with an international aerial targets customer and employee termination costs of approximately $0.3 million associated with personnel reduction actions taken during the year.</w:t>
      </w:r>
    </w:p>
    <w:p>
      <w:pPr>
        <w:spacing w:after="0" w:line="21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increased to $22.5 million from $22.3 million for the years ended December 27, 2020 and December 29,</w:t>
      </w:r>
      <w:r>
        <w:rPr>
          <w:rFonts w:ascii="Arial" w:cs="Arial" w:eastAsia="Arial" w:hAnsi="Arial"/>
          <w:sz w:val="18"/>
          <w:szCs w:val="18"/>
          <w:i w:val="1"/>
          <w:iCs w:val="1"/>
          <w:color w:val="auto"/>
        </w:rPr>
        <w:t xml:space="preserve"> </w:t>
      </w:r>
      <w:r>
        <w:rPr>
          <w:rFonts w:ascii="Arial" w:cs="Arial" w:eastAsia="Arial" w:hAnsi="Arial"/>
          <w:sz w:val="18"/>
          <w:szCs w:val="18"/>
          <w:color w:val="auto"/>
        </w:rPr>
        <w:t>2019, respectively.</w:t>
      </w:r>
    </w:p>
    <w:p>
      <w:pPr>
        <w:spacing w:after="0" w:line="197" w:lineRule="exact"/>
        <w:rPr>
          <w:sz w:val="20"/>
          <w:szCs w:val="20"/>
          <w:color w:val="auto"/>
        </w:rPr>
      </w:pPr>
    </w:p>
    <w:p>
      <w:pPr>
        <w:ind w:right="60" w:firstLine="180"/>
        <w:spacing w:after="0" w:line="320" w:lineRule="auto"/>
        <w:rPr>
          <w:sz w:val="20"/>
          <w:szCs w:val="20"/>
          <w:color w:val="auto"/>
        </w:rPr>
      </w:pPr>
      <w:r>
        <w:rPr>
          <w:rFonts w:ascii="Arial" w:cs="Arial" w:eastAsia="Arial" w:hAnsi="Arial"/>
          <w:sz w:val="16"/>
          <w:szCs w:val="16"/>
          <w:i w:val="1"/>
          <w:iCs w:val="1"/>
          <w:color w:val="auto"/>
        </w:rPr>
        <w:t xml:space="preserve">Provision (benefit) for income taxes from continuing operations. </w:t>
      </w:r>
      <w:r>
        <w:rPr>
          <w:rFonts w:ascii="Arial" w:cs="Arial" w:eastAsia="Arial" w:hAnsi="Arial"/>
          <w:sz w:val="16"/>
          <w:szCs w:val="16"/>
          <w:color w:val="auto"/>
        </w:rPr>
        <w:t>The Company recorded an income tax benefit of $73.5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27, 2020, compared to an income tax provision of $4.8 million for the year ended December 29, 2019. The income tax benefit for 2020 includes a non-cash benefit of $80.1 million related to the reversal of a significant portion of the Company’s valuation allowance on its U.S. deferred tax assets.</w:t>
      </w:r>
    </w:p>
    <w:p>
      <w:pPr>
        <w:spacing w:after="0" w:line="15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i w:val="1"/>
          <w:iCs w:val="1"/>
          <w:color w:val="auto"/>
        </w:rPr>
        <w:t xml:space="preserve">Income (loss) from discontinued operations. </w:t>
      </w:r>
      <w:r>
        <w:rPr>
          <w:rFonts w:ascii="Arial" w:cs="Arial" w:eastAsia="Arial" w:hAnsi="Arial"/>
          <w:sz w:val="18"/>
          <w:szCs w:val="18"/>
          <w:color w:val="auto"/>
        </w:rPr>
        <w:t>The loss from discontinued operations was $0.9 million for the year ended December 27, 2020,</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reflecting the work performed in relation to outstanding tasks on legacy projects retained by us following the sale of the PSS business and legal expenses related to the closing net working capital dispute with the buyer of the PSS business. The income from discontinued operations was $1.7 million for the year ended December 29, 2019, which includes a $3.6 million gain as a result of the release of an indemnification liability following the lapse of the statute of limitations associated with a potential tax liability that was recorded in 2015 as part of the previous sale of our Electronics Products Division. This gain was offset by a loss of $1.7 million from operating activities primarily reflecting the work performed in relation to outstanding tasks on legacy projects retained by us following the sale of the PSS business and legal expenses related to the closing net working capital dispute with the buyer of the PSS business.</w:t>
      </w:r>
    </w:p>
    <w:p>
      <w:pPr>
        <w:spacing w:after="0" w:line="21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For a comparison of the Company’s results of operations for the fiscal year ended December 30, 2018 to the fiscal year ended December 29, 2019, see Item 7, Management’s Discussion and Analysis of Financial Condition and Results of Operations in the Company’s Annual Report on Form 10-K for the year ended December 29, 2019, which was filed with the U.S. Securities and Exchange Commission on February 24,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As of December 27, 2020, we had cash and cash equivalents of $380.8 million compared with cash and cash equivalents of $172.6 million as of December 29, 2019, which includes $29.2 million and $24.6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U.S. they could be repatriated, and their repatriation into the U.S. may cause us to incur additional foreign withholding taxes. We do not currently intend to repatriate these earnings.</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total debt, including principal due on the 6.5% Notes, net of debt issuance costs of $4.1 million, increased by $6.4 million to $301.5 million as of December 27, 2020 from $295.1 million as of December 29, 2019. The increase in total debt was due to the amortization of debt issuance costs, approximately $5.1 million in new loans entered into with two banks in Israel (as fully described below) and $0.5 million in loans assumed in connection with the acquisition of 5-D Systems (as fully described below).</w:t>
      </w:r>
    </w:p>
    <w:p>
      <w:pPr>
        <w:spacing w:after="0" w:line="214" w:lineRule="exact"/>
        <w:rPr>
          <w:sz w:val="20"/>
          <w:szCs w:val="20"/>
          <w:color w:val="auto"/>
        </w:rPr>
      </w:pPr>
    </w:p>
    <w:p>
      <w:pPr>
        <w:ind w:right="260" w:firstLine="648"/>
        <w:spacing w:after="0" w:line="248" w:lineRule="auto"/>
        <w:rPr>
          <w:sz w:val="20"/>
          <w:szCs w:val="20"/>
          <w:color w:val="auto"/>
        </w:rPr>
      </w:pPr>
      <w:r>
        <w:rPr>
          <w:rFonts w:ascii="Arial" w:cs="Arial" w:eastAsia="Arial" w:hAnsi="Arial"/>
          <w:sz w:val="18"/>
          <w:szCs w:val="18"/>
          <w:color w:val="auto"/>
        </w:rPr>
        <w:t>We use our operating cash flow to finance trade accounts receivable, fund necessary increases in inventory and non-recurring engineering, fund capital expenditures, our internal research and development investments and our ongoing operations, service our debt and make strategic acquisitions. Financing trade accounts receivable is necessary because, on</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0" w:name="page51"/>
    <w:bookmarkEnd w:id="50"/>
    <w:p>
      <w:pPr>
        <w:ind w:right="20"/>
        <w:spacing w:after="0" w:line="254" w:lineRule="auto"/>
        <w:rPr>
          <w:sz w:val="20"/>
          <w:szCs w:val="20"/>
          <w:color w:val="auto"/>
        </w:rPr>
      </w:pPr>
      <w:r>
        <w:rPr>
          <w:rFonts w:ascii="Arial" w:cs="Arial" w:eastAsia="Arial" w:hAnsi="Arial"/>
          <w:sz w:val="17"/>
          <w:szCs w:val="17"/>
          <w:color w:val="auto"/>
        </w:rPr>
        <w:t>average, our customers do not pay us as quickly as we pay our vendors and employees for their goods and services since a number of our receivables are contractually billable and due to us only when certain contractual milestones are achieved, certain of which are not achieved until final shipment and acceptance of our products. Financing increases in inventory balances is necessary to fulfill shipment requirements to meet delivery schedules of our customers. Cash from continuing operations is primarily derived from our customer contracts in progress and associated changes in working capital components. Our days sales outstanding (“DSO”) have decreased to 133 days as of December 27, 2020 from 134 days as of December 29, 2019. Our DSOs are impacted by the achievement of contractual billing milestones, such as equipment shipments and deliveries on certain products, and for certain flight requirements that must be fulfilled on certain aerial target programs, or final billings which are not due until completion on certain projects, and therefore we are unable to contractually bill for amounts outstanding related to those milestones at this time.</w:t>
      </w:r>
    </w:p>
    <w:p>
      <w:pPr>
        <w:spacing w:after="0" w:line="208" w:lineRule="exact"/>
        <w:rPr>
          <w:sz w:val="20"/>
          <w:szCs w:val="20"/>
          <w:color w:val="auto"/>
        </w:rPr>
      </w:pPr>
    </w:p>
    <w:p>
      <w:pPr>
        <w:ind w:right="20" w:firstLine="648"/>
        <w:spacing w:after="0" w:line="270" w:lineRule="auto"/>
        <w:rPr>
          <w:sz w:val="20"/>
          <w:szCs w:val="20"/>
          <w:color w:val="auto"/>
        </w:rPr>
      </w:pPr>
      <w:r>
        <w:rPr>
          <w:rFonts w:ascii="Arial" w:cs="Arial" w:eastAsia="Arial" w:hAnsi="Arial"/>
          <w:sz w:val="16"/>
          <w:szCs w:val="16"/>
          <w:color w:val="auto"/>
        </w:rPr>
        <w:t>In November 2019, a large training solutions program was terminated for convenience (“T for C”) by the customer. Under a T for C, a contractor is entitled to seek specified costs through a termination settlement process including (1) the contract price for completed supplies and services accepted by the government but not previously paid for; (2) the cost incurred in the performance of work terminated plus a reasonable profit on those costs; and (3) its costs incurred in settling with subcontractors and preparing and settling the termination proposal. However, we will not be able to collect the total withheld amounts until the settlement terms of the T for C have been negotiated and agreed to with the customer. At December 27, 2020, approximately $11.5 million in unbilled receivables remain outstanding on this project. In addition, we are currently in dispute with an international customer in our US segment over approximately $10.0 million in unbilled receivables outstanding as of December 27, 2020. The dispute concerns the completion of certain system requirements and contractual milestones. The Company alleges breach of contract, as well as other claims against the customer and seeks damages and other equitable relief. The customer has asserted counterclaims seeking liquidated damages and additional relief. We have evaluated the present facts of the matters and performed a reassessment of the contractual amounts due, as well as the claims asserted by each of the parties, and have determined that no adjustment to previously recognized revenue, or the corresponding unbilled receivables, is necessary at December 27, 2020.</w:t>
      </w:r>
    </w:p>
    <w:p>
      <w:pPr>
        <w:spacing w:after="0" w:line="19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 summary of our net cash provided by operating activities from continuing operations from our Consolidated Statements of Cash Flows is as follows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1219"/>
              <w:spacing w:after="0"/>
              <w:rPr>
                <w:sz w:val="20"/>
                <w:szCs w:val="20"/>
                <w:color w:val="auto"/>
              </w:rPr>
            </w:pPr>
            <w:r>
              <w:rPr>
                <w:rFonts w:ascii="Arial" w:cs="Arial" w:eastAsia="Arial" w:hAnsi="Arial"/>
                <w:sz w:val="14"/>
                <w:szCs w:val="14"/>
                <w:b w:val="1"/>
                <w:bCs w:val="1"/>
                <w:color w:val="auto"/>
              </w:rPr>
              <w:t>Year Ended</w:t>
            </w:r>
          </w:p>
        </w:tc>
      </w:tr>
      <w:tr>
        <w:trPr>
          <w:trHeight w:val="187"/>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27, 2020</w:t>
            </w:r>
          </w:p>
        </w:tc>
        <w:tc>
          <w:tcPr>
            <w:tcW w:w="180" w:type="dxa"/>
            <w:vAlign w:val="bottom"/>
          </w:tcPr>
          <w:p>
            <w:pPr>
              <w:spacing w:after="0"/>
              <w:rPr>
                <w:sz w:val="16"/>
                <w:szCs w:val="16"/>
                <w:color w:val="auto"/>
              </w:rPr>
            </w:pPr>
          </w:p>
        </w:tc>
        <w:tc>
          <w:tcPr>
            <w:tcW w:w="1460" w:type="dxa"/>
            <w:vAlign w:val="bottom"/>
          </w:tcPr>
          <w:p>
            <w:pPr>
              <w:jc w:val="right"/>
              <w:ind w:right="159"/>
              <w:spacing w:after="0"/>
              <w:rPr>
                <w:sz w:val="20"/>
                <w:szCs w:val="20"/>
                <w:color w:val="auto"/>
              </w:rPr>
            </w:pPr>
            <w:r>
              <w:rPr>
                <w:rFonts w:ascii="Arial" w:cs="Arial" w:eastAsia="Arial" w:hAnsi="Arial"/>
                <w:sz w:val="14"/>
                <w:szCs w:val="14"/>
                <w:b w:val="1"/>
                <w:bCs w:val="1"/>
                <w:color w:val="auto"/>
                <w:w w:val="95"/>
              </w:rPr>
              <w:t>December 29, 2019</w:t>
            </w:r>
          </w:p>
        </w:tc>
      </w:tr>
      <w:tr>
        <w:trPr>
          <w:trHeight w:val="224"/>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44.7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r>
    </w:tbl>
    <w:p>
      <w:pPr>
        <w:spacing w:after="0" w:line="283"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 xml:space="preserve">Our net cash provided by operating activities from continuing operations for the year ended December 27, 2020 increased by $15.8 million to $44.7 million for the year ended December 27, 2020 compared to $28.9 million for the year ended December 29, 2019. Net cash provided by operating activities from continuing operations was impacted by an increase in income from continuing operations of $69.4 million to $80.3 million for the year ended December 27, 2020 compared to $10.9 million for the year ended December 29, 2019. This increase was offset by a change in deferred income taxes of $73.3 million as a result of the release of the valuation allowance described in </w:t>
      </w:r>
      <w:r>
        <w:rPr>
          <w:rFonts w:ascii="Arial" w:cs="Arial" w:eastAsia="Arial" w:hAnsi="Arial"/>
          <w:sz w:val="17"/>
          <w:szCs w:val="17"/>
          <w:i w:val="1"/>
          <w:iCs w:val="1"/>
          <w:color w:val="auto"/>
        </w:rPr>
        <w:t>Provision (benefit) for income taxes from continuing operations</w:t>
      </w:r>
      <w:r>
        <w:rPr>
          <w:rFonts w:ascii="Arial" w:cs="Arial" w:eastAsia="Arial" w:hAnsi="Arial"/>
          <w:sz w:val="17"/>
          <w:szCs w:val="17"/>
          <w:color w:val="auto"/>
        </w:rPr>
        <w:t xml:space="preserve"> above as well as by an increase in stock-based compensation of $10.0 million, a decrease in amortization of lease right-of-use assets of $2.3 million and other net changes in working capital accounts of $10.6 million in the year ended December 27, 2020 as compared to the year ended December 29, 2019. Included in the changes in working capital accounts is an increase in collections from accounts receivable, as well as approximately $9.5 million of payroll related taxes that were deferred during 2020 under the CARES Act, of which 50 percent of the amount is required to be paid by end of the 2021 with the remainder required to be paid by the end of 2022.</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net cash used in investing activities from continuing operations is summarized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1214"/>
              <w:spacing w:after="0"/>
              <w:rPr>
                <w:sz w:val="20"/>
                <w:szCs w:val="20"/>
                <w:color w:val="auto"/>
              </w:rPr>
            </w:pPr>
            <w:r>
              <w:rPr>
                <w:rFonts w:ascii="Arial" w:cs="Arial" w:eastAsia="Arial" w:hAnsi="Arial"/>
                <w:sz w:val="14"/>
                <w:szCs w:val="14"/>
                <w:b w:val="1"/>
                <w:bCs w:val="1"/>
                <w:color w:val="auto"/>
              </w:rPr>
              <w:t>Year Ended</w:t>
            </w:r>
          </w:p>
        </w:tc>
      </w:tr>
      <w:tr>
        <w:trPr>
          <w:trHeight w:val="187"/>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27, 2020</w:t>
            </w:r>
          </w:p>
        </w:tc>
        <w:tc>
          <w:tcPr>
            <w:tcW w:w="180" w:type="dxa"/>
            <w:vAlign w:val="bottom"/>
          </w:tcPr>
          <w:p>
            <w:pPr>
              <w:spacing w:after="0"/>
              <w:rPr>
                <w:sz w:val="16"/>
                <w:szCs w:val="16"/>
                <w:color w:val="auto"/>
              </w:rPr>
            </w:pPr>
          </w:p>
        </w:tc>
        <w:tc>
          <w:tcPr>
            <w:tcW w:w="1460" w:type="dxa"/>
            <w:vAlign w:val="bottom"/>
          </w:tcPr>
          <w:p>
            <w:pPr>
              <w:jc w:val="right"/>
              <w:ind w:right="154"/>
              <w:spacing w:after="0"/>
              <w:rPr>
                <w:sz w:val="20"/>
                <w:szCs w:val="20"/>
                <w:color w:val="auto"/>
              </w:rPr>
            </w:pPr>
            <w:r>
              <w:rPr>
                <w:rFonts w:ascii="Arial" w:cs="Arial" w:eastAsia="Arial" w:hAnsi="Arial"/>
                <w:sz w:val="14"/>
                <w:szCs w:val="14"/>
                <w:b w:val="1"/>
                <w:bCs w:val="1"/>
                <w:color w:val="auto"/>
                <w:w w:val="95"/>
              </w:rPr>
              <w:t>December 29, 2019</w:t>
            </w:r>
          </w:p>
        </w:tc>
      </w:tr>
      <w:tr>
        <w:trPr>
          <w:trHeight w:val="211"/>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Cash paid for acquisitions, net of cash acquired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 of assets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Capital expenditures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r>
      <w:tr>
        <w:trPr>
          <w:trHeight w:val="248"/>
        </w:trPr>
        <w:tc>
          <w:tcPr>
            <w:tcW w:w="7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cash used in investing activities from continuing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300" w:firstLine="180"/>
        <w:spacing w:after="0" w:line="261" w:lineRule="auto"/>
        <w:rPr>
          <w:sz w:val="20"/>
          <w:szCs w:val="20"/>
          <w:color w:val="auto"/>
        </w:rPr>
      </w:pPr>
      <w:r>
        <w:rPr>
          <w:rFonts w:ascii="Arial" w:cs="Arial" w:eastAsia="Arial" w:hAnsi="Arial"/>
          <w:sz w:val="18"/>
          <w:szCs w:val="18"/>
          <w:color w:val="auto"/>
        </w:rPr>
        <w:t>Net cash used in investing activities from continuing operations for year ended December 27, 2020 was comprised of the acquisitions of ASC Signal, TDI, OPM and 5-D Systems, a payment due under the FTT acquisition agreement, and capital</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1" w:name="page52"/>
    <w:bookmarkEnd w:id="51"/>
    <w:p>
      <w:pPr>
        <w:ind w:right="40"/>
        <w:spacing w:after="0" w:line="257" w:lineRule="auto"/>
        <w:rPr>
          <w:sz w:val="20"/>
          <w:szCs w:val="20"/>
          <w:color w:val="auto"/>
        </w:rPr>
      </w:pPr>
      <w:r>
        <w:rPr>
          <w:rFonts w:ascii="Arial" w:cs="Arial" w:eastAsia="Arial" w:hAnsi="Arial"/>
          <w:sz w:val="17"/>
          <w:szCs w:val="17"/>
          <w:color w:val="auto"/>
        </w:rPr>
        <w:t>expenditures which consist primarily of investments in machinery, computer hardware and software and improvement of our physical properties in order to maintain suitable conditions in which to conduct our business. Net cash used in investing activities from continuing operations for the year ended December 29, 2019 was comprised of the acquisition of FTT and capital expenditures which consist primarily of investments in machinery, computer hardware and software and improvement of our physical properties in order to maintain suitable conditions in which to conduct our business. During the year ended December 27, 2020, capital expenditures of approximately $18.1 million were incurred in our US business, primarily related to our unmanned combat target initiative, including capital expenditures for Valkyries we are building in advance of contract award.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cash provided by financing activities from continuing operations is summarized as follows (in millions):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193"/>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7"/>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27, 2020</w:t>
            </w:r>
          </w:p>
        </w:tc>
        <w:tc>
          <w:tcPr>
            <w:tcW w:w="14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Arial" w:cs="Arial" w:eastAsia="Arial" w:hAnsi="Arial"/>
                <w:sz w:val="14"/>
                <w:szCs w:val="14"/>
                <w:b w:val="1"/>
                <w:bCs w:val="1"/>
                <w:color w:val="auto"/>
                <w:w w:val="95"/>
              </w:rPr>
              <w:t>December 29, 2019</w:t>
            </w:r>
          </w:p>
        </w:tc>
        <w:tc>
          <w:tcPr>
            <w:tcW w:w="0" w:type="dxa"/>
            <w:vAlign w:val="bottom"/>
          </w:tcPr>
          <w:p>
            <w:pPr>
              <w:spacing w:after="0"/>
              <w:rPr>
                <w:sz w:val="1"/>
                <w:szCs w:val="1"/>
                <w:color w:val="auto"/>
              </w:rPr>
            </w:pPr>
          </w:p>
        </w:tc>
      </w:tr>
      <w:tr>
        <w:trPr>
          <w:trHeight w:val="211"/>
        </w:trPr>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Arial" w:cs="Arial" w:eastAsia="Arial" w:hAnsi="Arial"/>
                <w:sz w:val="18"/>
                <w:szCs w:val="18"/>
                <w:color w:val="auto"/>
              </w:rPr>
              <w:t>Proceeds from the issuance of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the issuance of common stock</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Arial" w:cs="Arial" w:eastAsia="Arial" w:hAnsi="Arial"/>
                <w:sz w:val="18"/>
                <w:szCs w:val="18"/>
                <w:color w:val="auto"/>
              </w:rPr>
              <w:t>Repayment under credit facility and debt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under finance leases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176"/>
        </w:trPr>
        <w:tc>
          <w:tcPr>
            <w:tcW w:w="7900" w:type="dxa"/>
            <w:vAlign w:val="bottom"/>
          </w:tcPr>
          <w:p>
            <w:pPr>
              <w:ind w:left="120"/>
              <w:spacing w:after="0" w:line="176" w:lineRule="exact"/>
              <w:rPr>
                <w:sz w:val="20"/>
                <w:szCs w:val="20"/>
                <w:color w:val="auto"/>
              </w:rPr>
            </w:pPr>
            <w:r>
              <w:rPr>
                <w:rFonts w:ascii="Arial" w:cs="Arial" w:eastAsia="Arial" w:hAnsi="Arial"/>
                <w:sz w:val="18"/>
                <w:szCs w:val="18"/>
                <w:color w:val="auto"/>
                <w:w w:val="94"/>
              </w:rPr>
              <w:t>Proceeds from exercise of restricted stock units, employee stock options, and employee stock purchase</w:t>
            </w:r>
          </w:p>
        </w:tc>
        <w:tc>
          <w:tcPr>
            <w:tcW w:w="14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plan</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cash provided by financing activities from continuing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200" w:firstLine="648"/>
        <w:spacing w:after="0" w:line="270" w:lineRule="auto"/>
        <w:rPr>
          <w:sz w:val="20"/>
          <w:szCs w:val="20"/>
          <w:color w:val="auto"/>
        </w:rPr>
      </w:pPr>
      <w:r>
        <w:rPr>
          <w:rFonts w:ascii="Arial" w:cs="Arial" w:eastAsia="Arial" w:hAnsi="Arial"/>
          <w:sz w:val="17"/>
          <w:szCs w:val="17"/>
          <w:color w:val="auto"/>
        </w:rPr>
        <w:t>Net cash provided by financing activities from continuing operations was $247.7 million for the year ended December 27, 2020 and consisted primarily of net proceeds of $240.4 million from our recently completed equity offering of approximately 15.5 million shares of common stock. Net cash provided by financing activities from continuing operations was $3.5 million for the year ended December 29, 2019.</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operating cash flows of discontinued operations is summarized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ind w:left="1140"/>
              <w:spacing w:after="0"/>
              <w:rPr>
                <w:sz w:val="20"/>
                <w:szCs w:val="20"/>
                <w:color w:val="auto"/>
              </w:rPr>
            </w:pPr>
            <w:r>
              <w:rPr>
                <w:rFonts w:ascii="Arial" w:cs="Arial" w:eastAsia="Arial" w:hAnsi="Arial"/>
                <w:sz w:val="14"/>
                <w:szCs w:val="14"/>
                <w:b w:val="1"/>
                <w:bCs w:val="1"/>
                <w:color w:val="auto"/>
              </w:rPr>
              <w:t>Year Ended</w:t>
            </w:r>
          </w:p>
        </w:tc>
      </w:tr>
      <w:tr>
        <w:trPr>
          <w:trHeight w:val="187"/>
        </w:trPr>
        <w:tc>
          <w:tcPr>
            <w:tcW w:w="7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27, 2020</w:t>
            </w:r>
          </w:p>
        </w:tc>
        <w:tc>
          <w:tcPr>
            <w:tcW w:w="160" w:type="dxa"/>
            <w:vAlign w:val="bottom"/>
          </w:tcPr>
          <w:p>
            <w:pPr>
              <w:spacing w:after="0"/>
              <w:rPr>
                <w:sz w:val="16"/>
                <w:szCs w:val="16"/>
                <w:color w:val="auto"/>
              </w:rPr>
            </w:pPr>
          </w:p>
        </w:tc>
        <w:tc>
          <w:tcPr>
            <w:tcW w:w="1440" w:type="dxa"/>
            <w:vAlign w:val="bottom"/>
          </w:tcPr>
          <w:p>
            <w:pPr>
              <w:jc w:val="right"/>
              <w:ind w:right="139"/>
              <w:spacing w:after="0"/>
              <w:rPr>
                <w:sz w:val="20"/>
                <w:szCs w:val="20"/>
                <w:color w:val="auto"/>
              </w:rPr>
            </w:pPr>
            <w:r>
              <w:rPr>
                <w:rFonts w:ascii="Arial" w:cs="Arial" w:eastAsia="Arial" w:hAnsi="Arial"/>
                <w:sz w:val="14"/>
                <w:szCs w:val="14"/>
                <w:b w:val="1"/>
                <w:bCs w:val="1"/>
                <w:color w:val="auto"/>
                <w:w w:val="95"/>
              </w:rPr>
              <w:t>December 29, 2019</w:t>
            </w:r>
          </w:p>
        </w:tc>
      </w:tr>
      <w:tr>
        <w:trPr>
          <w:trHeight w:val="224"/>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operating cash flows of discontinued operations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bl>
    <w:p>
      <w:pPr>
        <w:spacing w:after="0" w:line="296" w:lineRule="exact"/>
        <w:rPr>
          <w:sz w:val="20"/>
          <w:szCs w:val="20"/>
          <w:color w:val="auto"/>
        </w:rPr>
      </w:pPr>
    </w:p>
    <w:p>
      <w:pPr>
        <w:ind w:right="180" w:firstLine="177"/>
        <w:spacing w:after="0" w:line="275" w:lineRule="auto"/>
        <w:rPr>
          <w:sz w:val="20"/>
          <w:szCs w:val="20"/>
          <w:color w:val="auto"/>
        </w:rPr>
      </w:pPr>
      <w:r>
        <w:rPr>
          <w:rFonts w:ascii="Arial" w:cs="Arial" w:eastAsia="Arial" w:hAnsi="Arial"/>
          <w:sz w:val="17"/>
          <w:szCs w:val="17"/>
          <w:color w:val="auto"/>
        </w:rPr>
        <w:t>The net operating cash flow of discontinued operations for the year ended December 27, 2020 is substantially related to the approximately $3.1 million collected on amounts due related to the legacy projects retained by us following the sale of our PSS business unit, partially offset by the loss from operations from our discontinued PSS business unit of $0.9 million. The net operating cash flow of discontinued operations for the year ended December 29, 2019 is substantially related to the approximately $3.7 million collected on amounts due related to the legacy projects retained by us, less costs incurred to complete the legacy projects, partially offset by a reduction in other current liabilities of $1.8 million.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6.5% Senior Secured Notes due 2025</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November 2017, we issued and sold $300 million aggregate principal amount of 6.5% Senior Secured Notes due 2025 (the “6.5% Notes”) in a private placement conducted pursuant to Rule 144A and Regulation S under the Securities Act of 1933, as amended (the “Act”). The net proceeds from the issuance of the 6.5% Notes were $295.5 million after expenses of $4.5 million. We utilized the net proceeds from the sale of the 6.5% Notes, as well as cash from an equity offering to extinguish our previously outstanding 7% Notes. The total reacquisition price of the 7% Notes was $385.2 million, including a $12.0 million call premium, and $0.3 million of accrued interest.</w:t>
      </w:r>
    </w:p>
    <w:p>
      <w:pPr>
        <w:spacing w:after="0" w:line="21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6.5% Notes are governed by the Indenture, dated as of November 20, 2017 (the “Indenture”), among the Company, our existing and future domestic subsidiaries parties thereto (the “Subsidiary Guarantors”) and Wilmington Trust, National Association, as trustee and collateral agent (in such capacity, the “2017 Trustee and Collateral Agent”). A Subsidiary Guarantor can be released from its guarantee if (a) all of the capital stock issued by such Subsidiary Guarantor or all or substantially all of the assets of such Subsidiary Guarantor are sold or otherwise disposed of; (b) we designate such Subsidiary Guarantor as an Unrestricted Subsidiary; (c) we exercise our legal defeasance option or our covenant defeasance option; or (d) upon satisfaction and discharge of the Indenture or payment in full in cash of the principal of, premium, if any, and accrued and unpaid interest on the 6.5% Notes.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2" w:name="page53"/>
    <w:bookmarkEnd w:id="52"/>
    <w:p>
      <w:pPr>
        <w:jc w:val="both"/>
        <w:ind w:right="20" w:firstLine="648"/>
        <w:spacing w:after="0" w:line="263" w:lineRule="auto"/>
        <w:rPr>
          <w:sz w:val="20"/>
          <w:szCs w:val="20"/>
          <w:color w:val="auto"/>
        </w:rPr>
      </w:pPr>
      <w:r>
        <w:rPr>
          <w:rFonts w:ascii="Arial" w:cs="Arial" w:eastAsia="Arial" w:hAnsi="Arial"/>
          <w:sz w:val="18"/>
          <w:szCs w:val="18"/>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21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6.5% Notes and the guarantees (as set forth in the Indenture, the “Guarantees”) are our senior secured obligations and are equal in right of payment with all other senior obligations of the Subsidiary Guarantors’ existing and future secured debt to the extent of the assets securing that secured debt. Our obligations under the 6.5% Notes are secured by a first priority lien on substantially all of our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our obligations under the Credit Agreement.</w:t>
      </w:r>
    </w:p>
    <w:p>
      <w:pPr>
        <w:spacing w:after="0" w:line="188"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The 6.5% Notes are redeemable by the Company, in whole or in part, at the respective redemption prices specified in the Indenture. We may also be required to make an offer to purchase the 6.5% Notes upon a change of control and certain sales of our assets.</w:t>
      </w:r>
    </w:p>
    <w:p>
      <w:pPr>
        <w:spacing w:after="0" w:line="19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Indenture contains covenants limiting, among other things, our ability and the Subsidiary Guarantors’ ability to: (a) pay dividends on or make distributions or repurchase or redeem the Company’s capital stock or make other restricted payments; (b) incur additional debt and guarantee debt; (c) prepay, redeem or repurchase certain debt; (d) issue certain preferred stock or similar equity securities; (e) make loans and investments; (f) sell assets; (g) incur liens; (h) consolidate, merge, sell or otherwise dispose of all or substantially all of our assets; (i) enter into transactions with affiliates; and (j) enter into agreements restricting our ability and certain of our subsidiaries’ ability to pay dividends. These covenants are subject to a number of exceptions. As of December 27, 2020, we were in compliance with the covenants contained in the Indenture governing the 6.5% Notes.</w:t>
      </w:r>
    </w:p>
    <w:p>
      <w:pPr>
        <w:spacing w:after="0" w:line="20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terms of the Indenture require that the net cash proceeds from asset dispositions be either utilized to (i) repay or prepay amounts outstanding under the Credit Agreement unless such amounts are reinvested in similar collateral, (ii) permanently reduce other indebtedness, (iii) make an investment in assets that replace the collateral of the 6.5% Notes or (iii) a combination of (i), (ii) and (iii). To the extent there are any remaining net proceeds from the asset disposition after application of (i), (ii) and (iii), such amounts are required to be utilized to repurchase 6.5% Notes at par.</w:t>
      </w:r>
    </w:p>
    <w:p>
      <w:pPr>
        <w:spacing w:after="0" w:line="18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Indenture also provides for events of default which, if any of them occurs, would permit or require the principal, premium, if any, interest, if any, and any other monetary obligations on all the then-outstanding 6.5% Notes to become or to be declared due and payable immediately.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Credit and Security Agreement</w:t>
      </w:r>
    </w:p>
    <w:p>
      <w:pPr>
        <w:spacing w:after="0" w:line="252"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On November 20, 2017, we entered into an amended and restated Credit Agreement with the lenders from time to time party thereto, the Agent, and SunTrust Robinson Humphrey, Inc., as Joint Lead Arranger and Sole Book Runner. As amended and restated, the Credit Agreement establishes a five year senior secured revolving credit facility in the aggregate principal amount of $90.0 million (subject to a potential increase of the aggregate principal amount to $115.0 million, subject to SunTrust’s and applicable lenders’ approval), consisting of a subline for letters of credit in an amount not to exceed $50.0 million, as well as a swingline loan in an aggregate principal amount at any time outstanding not to exceed $10.0 million.</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Borrowings under the revolving credit facility may take the form of a base rate revolving loan, Eurodollar revolving loan or swing line loan. Base rate revolving loans and swing 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LIBOR Rate (as defined in the Credit Agreement) determined at such time for an interest period of one month, plus 1.00% per annum. Eurodollar revolving loans will bear interest a rate per annum equal to the sum of the Applicable Margin from time to time in effect plus the Adjusted LIBOR Rate. The Applicable Margin varies between 1.00%-1.50% for base rate revolving loans and swing line loans and 2.00%-2.50% for Eurodollar loans, and is based on several factors including our then-existing borrowing base and the lenders’ total commitment amount and revolving credit exposure. The calculation of our borrowing base takes into account several items relating to us and our subsidiaries, including amounts due and owing under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billed and unbilled accounts receivables, then held eligible raw materials inventory, work-in-process inventory, and applicable reserves.</w:t>
      </w:r>
    </w:p>
    <w:p>
      <w:pPr>
        <w:spacing w:after="0" w:line="25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As of December 27, 2020, there were no borrowings outstanding on the Credit Agreement and $5.9 million was outstanding on letters of credit, resulting in net borrowing base availability of $71.9 million. We were in compliance with the financial covenants of the Credit Agreement as of December 27, 2020.</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Israel Debt</w:t>
      </w:r>
    </w:p>
    <w:p>
      <w:pPr>
        <w:spacing w:after="0" w:line="225"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During August 2020, we entered into two five-year term loans with two banks in Israel representing an aggregate principal amount of approximately $5.1 million. These loans were subsidized by the State of Israel as part of a COVID-19 relief package with interest at Israeli NIS prime interest, plus a margin of 1.5%. The first year of interest is paid by the State of Israel with subsequent interest and principal payments due monthly commencing in August 2021.</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5-D Systems Loan</w:t>
      </w:r>
    </w:p>
    <w:p>
      <w:pPr>
        <w:spacing w:after="0" w:line="252"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In connection with the acquisition of 5-D Systems, we assumed a loan in the amount of approximately $0.5 million that had been obtained under the Small Business Administration Paycheck Protection Program as part of a COVID-19 relief package. The sellers of 5-D Systems have applied for forgiveness of this loan and as part of the purchase have agreed to indemnify Kratos in the event the application for forgiveness of the loan is not accepted.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Off Balance Sheet Arrangements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in Regulation S-K, Item 303(a)(4)(ii).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5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summarizes our contractual obligations and other commitments at December 27, 2020, and the effect such obligations could have on our liquidity and cash flow in future periods (in millions):</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60" w:type="dxa"/>
            <w:vAlign w:val="bottom"/>
            <w:gridSpan w:val="6"/>
          </w:tcPr>
          <w:p>
            <w:pPr>
              <w:jc w:val="right"/>
              <w:spacing w:after="0"/>
              <w:rPr>
                <w:sz w:val="20"/>
                <w:szCs w:val="20"/>
                <w:color w:val="auto"/>
              </w:rPr>
            </w:pPr>
            <w:r>
              <w:rPr>
                <w:rFonts w:ascii="Arial" w:cs="Arial" w:eastAsia="Arial" w:hAnsi="Arial"/>
                <w:sz w:val="14"/>
                <w:szCs w:val="14"/>
                <w:b w:val="1"/>
                <w:bCs w:val="1"/>
                <w:color w:val="auto"/>
              </w:rPr>
              <w:t>Payments Due/Forecast by Period</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2022 - 2023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8"/>
              </w:rPr>
              <w:t>2024 - 2025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2026 and After</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net of interest(1)</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305.6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Estimated interest on debt(2)</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orders(3)</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159.4</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Operating leases(4)</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leases(4)</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3"/>
              </w:rPr>
              <w:t>Unrecognized tax benefits, including interest and</w:t>
            </w:r>
          </w:p>
        </w:tc>
        <w:tc>
          <w:tcPr>
            <w:tcW w:w="920" w:type="dxa"/>
            <w:vAlign w:val="bottom"/>
          </w:tcPr>
          <w:p>
            <w:pPr>
              <w:spacing w:after="0"/>
              <w:rPr>
                <w:sz w:val="15"/>
                <w:szCs w:val="15"/>
                <w:color w:val="auto"/>
              </w:rPr>
            </w:pP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5"/>
                <w:szCs w:val="15"/>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tcPr>
          <w:p>
            <w:pPr>
              <w:ind w:left="180"/>
              <w:spacing w:after="0"/>
              <w:rPr>
                <w:sz w:val="20"/>
                <w:szCs w:val="20"/>
                <w:color w:val="auto"/>
              </w:rPr>
            </w:pPr>
            <w:r>
              <w:rPr>
                <w:rFonts w:ascii="Arial" w:cs="Arial" w:eastAsia="Arial" w:hAnsi="Arial"/>
                <w:sz w:val="18"/>
                <w:szCs w:val="18"/>
                <w:color w:val="auto"/>
              </w:rPr>
              <w:t>penalties(5)</w:t>
            </w:r>
          </w:p>
        </w:tc>
        <w:tc>
          <w:tcPr>
            <w:tcW w:w="92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8"/>
              </w:rPr>
              <w:t>Total commitments and recorded liabilities</w:t>
            </w:r>
          </w:p>
        </w:tc>
        <w:tc>
          <w:tcPr>
            <w:tcW w:w="92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688.2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hanging="652"/>
        <w:spacing w:after="0" w:line="277" w:lineRule="auto"/>
        <w:tabs>
          <w:tab w:leader="none" w:pos="3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6.5% Notes in the aggregate outstanding principal amount of $300.0 million are due November 30, 2025. See Note 5 in the Notes to Consolidated Financial Statements contained within this Annual Report for further details.</w:t>
      </w:r>
    </w:p>
    <w:p>
      <w:pPr>
        <w:spacing w:after="0" w:line="197" w:lineRule="exact"/>
        <w:rPr>
          <w:rFonts w:ascii="Arial" w:cs="Arial" w:eastAsia="Arial" w:hAnsi="Arial"/>
          <w:sz w:val="18"/>
          <w:szCs w:val="18"/>
          <w:color w:val="auto"/>
        </w:rPr>
      </w:pPr>
    </w:p>
    <w:p>
      <w:pPr>
        <w:ind w:left="660" w:right="160" w:hanging="652"/>
        <w:spacing w:after="0" w:line="277" w:lineRule="auto"/>
        <w:tabs>
          <w:tab w:leader="none" w:pos="402"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interest payments on the 6.5% Notes. See Note 5 in the Notes to Consolidated Financial Statements contained within in this Annual Report for further details.</w:t>
      </w:r>
    </w:p>
    <w:p>
      <w:pPr>
        <w:spacing w:after="0" w:line="197" w:lineRule="exact"/>
        <w:rPr>
          <w:rFonts w:ascii="Arial" w:cs="Arial" w:eastAsia="Arial" w:hAnsi="Arial"/>
          <w:sz w:val="18"/>
          <w:szCs w:val="18"/>
          <w:color w:val="auto"/>
        </w:rPr>
      </w:pPr>
    </w:p>
    <w:p>
      <w:pPr>
        <w:ind w:left="660" w:right="40" w:hanging="652"/>
        <w:spacing w:after="0" w:line="277" w:lineRule="auto"/>
        <w:tabs>
          <w:tab w:leader="none" w:pos="402"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Purchase orders include commitments in which a written purchase order has been issued to a vendor, but the goods have not been received or services have not been performed.</w:t>
      </w:r>
    </w:p>
    <w:p>
      <w:pPr>
        <w:spacing w:after="0" w:line="197" w:lineRule="exact"/>
        <w:rPr>
          <w:rFonts w:ascii="Arial" w:cs="Arial" w:eastAsia="Arial" w:hAnsi="Arial"/>
          <w:sz w:val="18"/>
          <w:szCs w:val="18"/>
          <w:color w:val="auto"/>
        </w:rPr>
      </w:pPr>
    </w:p>
    <w:p>
      <w:pPr>
        <w:ind w:left="400" w:hanging="392"/>
        <w:spacing w:after="0"/>
        <w:tabs>
          <w:tab w:leader="none" w:pos="4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have entered into or acquired various non-cancelable operating and finance lease agreements that expire on various dates through 2038. See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 6 in the Notes to Consolidated Financial Statements contained within this Annual Report for further details.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4" w:name="page55"/>
    <w:bookmarkEnd w:id="54"/>
    <w:p>
      <w:pPr>
        <w:ind w:left="660" w:right="80" w:hanging="652"/>
        <w:spacing w:after="0" w:line="263" w:lineRule="auto"/>
        <w:tabs>
          <w:tab w:leader="none" w:pos="3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of December 27, 2020, we have an $18.5 million noncurrent liability for uncertain tax positions and a $2.5 million guarantor liability, all of which may result in cash payments. The future payments related to uncertain tax positions have not been presented in the table above due to the uncertainty of the amounts and timing of cash settlements with the taxing authorities.</w:t>
      </w:r>
    </w:p>
    <w:p>
      <w:pPr>
        <w:spacing w:after="0" w:line="211"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As of December 27, 2020, we have $5.9 million of standby letters of credit outstanding. Our letters of credit are primarily related to milestone payments received from foreign customers for which the customer has not yet received the product. Additional information regarding our financial commitments at December 27, 2020 is provided in the Notes to Consolidated Financial Statements contained in this Annual Report, specifically Note 15.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Liquidity Matters</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believe our cash on hand, together with funds available under the Credit Agreement and cash expected to be generated from operating activities will be sufficient to fund our anticipated working capital and other cash needs for at least the next 12 months. As discussed in Item 1A “Risk Factors” contained within this Annual Report, our quarterly and annual operating results have fluctuated in the past and may vary in the future due to a variety of factors, many of which are external to our control. If the conditions in our industry deteriorate,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preparation of our Consolidated Financial Statements in conformity with GAAP requires us to make estimates and judgments that affect the reported amounts of assets and liabilities, stockholders’ equity, revenues and expenses, and related disclosures of contingent assets and liabilities. On a periodic basis, as deemed necessary, we evaluate our estimates, including those related to revenue recognition, valuation of inventory including the reserves for excess and obsolete inventory, valuation of long-lived assets including identifiable intangibles and goodwill, accounting for income taxes including the related valuation allowance, warranties, contingencies and litigation, contingent acquisition consideration, and losses on unused office space. We explain these accounting policies in the Notes to Consolidated Financial Statements contained within this Annual Report and at relevant sections in this discussion and analysis. These estimates are based on the information that is currently available and on various other assumptions that are believed to be reasonable under the circumstances. Actual results could vary from those estimates under different assumptions or conditions and such differences may be material. We have identified the following critical accounting policies that affect our more significant judgments and estimates used in the preparation of our Consolidated Financial Statements.</w:t>
      </w:r>
    </w:p>
    <w:p>
      <w:pPr>
        <w:spacing w:after="0" w:line="212"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Effective January 1, 2018, we adopted the FASB ASU 2014-09,</w:t>
      </w:r>
      <w:r>
        <w:rPr>
          <w:rFonts w:ascii="Arial" w:cs="Arial" w:eastAsia="Arial" w:hAnsi="Arial"/>
          <w:sz w:val="18"/>
          <w:szCs w:val="18"/>
          <w:i w:val="1"/>
          <w:iCs w:val="1"/>
          <w:color w:val="auto"/>
        </w:rPr>
        <w:t xml:space="preserve"> Revenue from Contracts with Customers</w:t>
      </w:r>
      <w:r>
        <w:rPr>
          <w:rFonts w:ascii="Arial" w:cs="Arial" w:eastAsia="Arial" w:hAnsi="Arial"/>
          <w:sz w:val="18"/>
          <w:szCs w:val="18"/>
          <w:color w:val="auto"/>
        </w:rPr>
        <w:t>, and the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which are codified into Accounting Standards Codification (“ASC”) 606 (“ASC 606”).</w:t>
      </w:r>
    </w:p>
    <w:p>
      <w:pPr>
        <w:spacing w:after="0" w:line="19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To determine revenue recognition for arrangements that we determine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we assess the goods or services promised within each contract and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w:t>
      </w:r>
    </w:p>
    <w:p>
      <w:pPr>
        <w:spacing w:after="0" w:line="19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under ASC 606. The majority of our contracts have a single performance obligation as the promise to transfer the individual goods or services is not separately identifiable from other promises in the contracts and, therefore, not distinct. For contracts with multiple performance obligations, we allocate the contract’s transaction price to each performance obligation using the best estimate of the standalone selling price of each distinct good or service in the contract. The primary method used to estimate standalone selling price is the expected-cost-plus-margin approach, under which we forecast the expected costs of satisfying a performance obligation and then add an appropriate margin for that distinct good or service.</w:t>
      </w:r>
    </w:p>
    <w:p>
      <w:pPr>
        <w:spacing w:after="0" w:line="205"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For the majority of contracts, we satisfy the underlying performance obligations over time as the customer obtains control or receives benefits as work is performed on the contract. As a result, under ASC 606 revenue is recognized over a period of time utilizing the percentage-of-completion cost-to-cost method.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5" w:name="page56"/>
    <w:bookmarkEnd w:id="55"/>
    <w:p>
      <w:pPr>
        <w:ind w:right="40" w:firstLine="648"/>
        <w:spacing w:after="0" w:line="290" w:lineRule="auto"/>
        <w:rPr>
          <w:sz w:val="20"/>
          <w:szCs w:val="20"/>
          <w:color w:val="auto"/>
        </w:rPr>
      </w:pPr>
      <w:r>
        <w:rPr>
          <w:rFonts w:ascii="Arial" w:cs="Arial" w:eastAsia="Arial" w:hAnsi="Arial"/>
          <w:sz w:val="16"/>
          <w:szCs w:val="16"/>
          <w:color w:val="auto"/>
        </w:rPr>
        <w:t>For our federal contracts, we apply U.S. Government procurement and accounting standards in assessing the allowability and the allocability of costs to contracts. Due to the significance of the judgments and estimation processes, it is likely that materially different amounts could be recorded if we used different assumptions or if the underlying circumstances were to change. We closely monitor compliance with, and the consistent application of, our critical accounting policies related to contract accounting. Business operations personnel conduct periodic contract status and performance reviews. When adjustments in estimated contract revenues or costs are required, any changes from prior estimates are included in earnings in the current period. Also, regular and recurring evaluations 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our personnel, and are subject to audit by the DCAA.</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Long-lived and Intangible Assets. </w:t>
      </w:r>
      <w:r>
        <w:rPr>
          <w:rFonts w:ascii="Arial" w:cs="Arial" w:eastAsia="Arial" w:hAnsi="Arial"/>
          <w:sz w:val="17"/>
          <w:szCs w:val="17"/>
          <w:color w:val="auto"/>
        </w:rPr>
        <w:t>We account for long-lived assets in accordance with the provisions of FASB ASC</w:t>
      </w:r>
      <w:r>
        <w:rPr>
          <w:rFonts w:ascii="Arial" w:cs="Arial" w:eastAsia="Arial" w:hAnsi="Arial"/>
          <w:sz w:val="17"/>
          <w:szCs w:val="17"/>
          <w:i w:val="1"/>
          <w:iCs w:val="1"/>
          <w:color w:val="auto"/>
        </w:rPr>
        <w:t xml:space="preserve"> Topic 360 Property, Plant, and Equipment </w:t>
      </w:r>
      <w:r>
        <w:rPr>
          <w:rFonts w:ascii="Arial" w:cs="Arial" w:eastAsia="Arial" w:hAnsi="Arial"/>
          <w:sz w:val="17"/>
          <w:szCs w:val="17"/>
          <w:color w:val="auto"/>
        </w:rPr>
        <w:t>(“Topic 360</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Topic 360 addresses financial accounting and reporting for the impairment or disposal of long-lived assets and requires that</w:t>
      </w:r>
      <w:r>
        <w:rPr>
          <w:rFonts w:ascii="Arial" w:cs="Arial" w:eastAsia="Arial" w:hAnsi="Arial"/>
          <w:sz w:val="17"/>
          <w:szCs w:val="17"/>
          <w:i w:val="1"/>
          <w:iCs w:val="1"/>
          <w:color w:val="auto"/>
        </w:rPr>
        <w:t xml:space="preserve"> </w:t>
      </w:r>
      <w:r>
        <w:rPr>
          <w:rFonts w:ascii="Arial" w:cs="Arial" w:eastAsia="Arial" w:hAnsi="Arial"/>
          <w:sz w:val="17"/>
          <w:szCs w:val="17"/>
          <w:color w:val="auto"/>
        </w:rPr>
        <w:t>long-lived assets be reviewed for impairment whenever events or changes in circumstances indicate that the carrying amount of an asset may not be recoverable. Recoverability is measured by comparing the carrying amount of an asset to the expected future net cash flows generated by the asset. If it is determined that the asset may not be recoverable and if the carrying amount of an asset exceeds its estimated fair value, an impairment charge is recognized to the extent of the difference. Topic 360 requires companies to separately report discontinued operations, including components of an entity that either have been disposed of (by sale, abandonment or in a distribution to owners) or classified as held for sale. Assets to be disposed of are reported at the lower of the carrying amount or fair value less costs to sell.</w:t>
      </w:r>
    </w:p>
    <w:p>
      <w:pPr>
        <w:spacing w:after="0" w:line="20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accordance with Topic 360, we assess the impairment of identifiable intangibles and long-lived assets whenever events or changes in circumstances indicate that the carrying value may not be recoverable. Factors we consider important which could individually or in combination trigger an impairment review, include the following:</w:t>
      </w:r>
    </w:p>
    <w:p>
      <w:pPr>
        <w:spacing w:after="0" w:line="211"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underperformance relative to expected historical or projected future operating results;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decline in our stock price for a sustained period;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market capitalization relative to net book value.</w:t>
      </w:r>
    </w:p>
    <w:p>
      <w:pPr>
        <w:spacing w:after="0" w:line="238" w:lineRule="exact"/>
        <w:rPr>
          <w:sz w:val="20"/>
          <w:szCs w:val="20"/>
          <w:color w:val="auto"/>
        </w:rPr>
      </w:pPr>
    </w:p>
    <w:p>
      <w:pPr>
        <w:jc w:val="both"/>
        <w:ind w:right="220" w:firstLine="648"/>
        <w:spacing w:after="0" w:line="342" w:lineRule="auto"/>
        <w:rPr>
          <w:sz w:val="20"/>
          <w:szCs w:val="20"/>
          <w:color w:val="auto"/>
        </w:rPr>
      </w:pPr>
      <w:r>
        <w:rPr>
          <w:rFonts w:ascii="Arial" w:cs="Arial" w:eastAsia="Arial" w:hAnsi="Arial"/>
          <w:sz w:val="16"/>
          <w:szCs w:val="16"/>
          <w:color w:val="auto"/>
        </w:rPr>
        <w:t>If we determined that the carrying value of intangibles and long-lived assets may not be recoverable based upon the existence of one or more of the above indicators of impairment, we would record an impairment equal to the excess of the carrying amount of the asset over its estimated fair value.</w:t>
      </w:r>
    </w:p>
    <w:p>
      <w:pPr>
        <w:spacing w:after="0" w:line="151"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The purchase price of an acquired business is allocated to the underlying tangible and intangible assets acquired and liabilities assumed</w:t>
      </w:r>
      <w:r>
        <w:rPr>
          <w:rFonts w:ascii="Arial" w:cs="Arial" w:eastAsia="Arial" w:hAnsi="Arial"/>
          <w:sz w:val="16"/>
          <w:szCs w:val="16"/>
          <w:i w:val="1"/>
          <w:iCs w:val="1"/>
          <w:color w:val="auto"/>
        </w:rPr>
        <w:t xml:space="preserve"> </w:t>
      </w:r>
      <w:r>
        <w:rPr>
          <w:rFonts w:ascii="Arial" w:cs="Arial" w:eastAsia="Arial" w:hAnsi="Arial"/>
          <w:sz w:val="16"/>
          <w:szCs w:val="16"/>
          <w:color w:val="auto"/>
        </w:rPr>
        <w:t>based upon their respective fair values, with the excess recorded as goodwill. Such fair value assessments require judgments and estimates that can be affected by contract performance and other factors over time, which may cause final amounts to differ materially from original estimates.</w:t>
      </w:r>
    </w:p>
    <w:p>
      <w:pPr>
        <w:spacing w:after="0" w:line="176"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 xml:space="preserve">We perform our impairment test for goodwill in accordance with ASC Topic 350, </w:t>
      </w:r>
      <w:r>
        <w:rPr>
          <w:rFonts w:ascii="Arial" w:cs="Arial" w:eastAsia="Arial" w:hAnsi="Arial"/>
          <w:sz w:val="17"/>
          <w:szCs w:val="17"/>
          <w:i w:val="1"/>
          <w:iCs w:val="1"/>
          <w:color w:val="auto"/>
        </w:rPr>
        <w:t>Intangibles-Goodwill and Other (</w:t>
      </w:r>
      <w:r>
        <w:rPr>
          <w:rFonts w:ascii="Arial" w:cs="Arial" w:eastAsia="Arial" w:hAnsi="Arial"/>
          <w:sz w:val="17"/>
          <w:szCs w:val="17"/>
          <w:color w:val="auto"/>
        </w:rPr>
        <w:t>“Topic 350”</w:t>
      </w:r>
      <w:r>
        <w:rPr>
          <w:rFonts w:ascii="Arial" w:cs="Arial" w:eastAsia="Arial" w:hAnsi="Arial"/>
          <w:sz w:val="17"/>
          <w:szCs w:val="17"/>
          <w:i w:val="1"/>
          <w:iCs w:val="1"/>
          <w:color w:val="auto"/>
        </w:rPr>
        <w:t>)</w:t>
      </w:r>
      <w:r>
        <w:rPr>
          <w:rFonts w:ascii="Arial" w:cs="Arial" w:eastAsia="Arial" w:hAnsi="Arial"/>
          <w:sz w:val="17"/>
          <w:szCs w:val="17"/>
          <w:color w:val="auto"/>
        </w:rPr>
        <w:t>. We assess goodwill for impairment at the reporting unit level, which is defined as an operating segment or one level below an operating segment, referred to as a component. We determine our reporting units by first identifying our operating segments, and then assessing whether any components of these segments constitute a business for which discrete financial information is available and where segment management regularly reviews the operating results of that component. We aggregate components within an operating segment that have similar economic characteristics.</w:t>
      </w:r>
    </w:p>
    <w:p>
      <w:pPr>
        <w:spacing w:after="0" w:line="203"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KGS has five operating businesses: Defense Rocket Support Services (“DRSS”), Microwave Electronics (“ME”), Space, Training and Cybersecurity Solutions (“ST&amp;C”), C5ISR Systems/Modular Systems (“MS”), and Kratos Turbine Technologies (“KTT”), that provide technology based defense solutions, involving products and services, primarily for mission critical U.S. national security priorities, with the primary focus relating to the nation’s Command, Control, Communications, Computing, Combat Systems, Intelligence, Surveillance (“C5ISR”) and Reconnaissance requirements. The US reportable segment provides unmanned aerial systems, unmanned ground, and unmanned seaborne systems. We have identified our reporting units to be the DRSS, ME, ST&amp;C, MS, and KTT operating segments, within the KGS reportable segment, and the US reportable segment, each of which has been assessed and evaluated for potential impairment in our fiscal year 2020 annual test.</w:t>
      </w:r>
    </w:p>
    <w:p>
      <w:pPr>
        <w:spacing w:after="0" w:line="204"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We test goodwill for impairment by first performing a qualitative assessment, and then a quantitative assessment if necessary. If, after performing a qualitative assessment and after assessing the totality of events or circumstances such as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56" w:name="page57"/>
    <w:bookmarkEnd w:id="56"/>
    <w:p>
      <w:pPr>
        <w:ind w:right="20"/>
        <w:spacing w:after="0" w:line="253" w:lineRule="auto"/>
        <w:rPr>
          <w:sz w:val="20"/>
          <w:szCs w:val="20"/>
          <w:color w:val="auto"/>
        </w:rPr>
      </w:pPr>
      <w:r>
        <w:rPr>
          <w:rFonts w:ascii="Arial" w:cs="Arial" w:eastAsia="Arial" w:hAnsi="Arial"/>
          <w:sz w:val="17"/>
          <w:szCs w:val="17"/>
          <w:color w:val="auto"/>
        </w:rPr>
        <w:t>macroeconomic, industry and market conditions, cost factors, and overall financial performance, we determine that it is more likely than not (that is, a likelihood of more than 50 percent) that the fair value of a reporting unit is greater than its carrying amount, then a quantitative assessment is not unnecessary. If, after performing a qualitative assessment we determine it is more likely than not that the fair value of a reporting unit is less than its carrying amount, including goodwill, then a quantitative assessment is performed to determine if an impairment exists. For operations where a quantitative assessment is performed, the identification and measurement of impairment involves the estimation of the fair value of reporting units to determine the amount of the impairment. When any impairment has occurred, a charge to operations is recorded. In order to test for potential impairment, we estimate the fair value of each of the impacted reporting units based on a comparison and weighting of the income approach, specifically the discounted cash flow (“DCF”) method and the market approach, which estimates the fair value of our reporting units based upon comparable market prices and recent transactions and also validates the reasonableness of the implied multiples from the income approach.</w:t>
      </w:r>
    </w:p>
    <w:p>
      <w:pPr>
        <w:spacing w:after="0" w:line="211" w:lineRule="exact"/>
        <w:rPr>
          <w:sz w:val="20"/>
          <w:szCs w:val="20"/>
          <w:color w:val="auto"/>
        </w:rPr>
      </w:pPr>
    </w:p>
    <w:p>
      <w:pPr>
        <w:ind w:right="280" w:firstLine="648"/>
        <w:spacing w:after="0" w:line="248" w:lineRule="auto"/>
        <w:rPr>
          <w:sz w:val="20"/>
          <w:szCs w:val="20"/>
          <w:color w:val="auto"/>
        </w:rPr>
      </w:pPr>
      <w:r>
        <w:rPr>
          <w:rFonts w:ascii="Arial" w:cs="Arial" w:eastAsia="Arial" w:hAnsi="Arial"/>
          <w:sz w:val="18"/>
          <w:szCs w:val="18"/>
          <w:color w:val="auto"/>
        </w:rPr>
        <w:t>In testing for impairment of our goodwill using a quantitative assessment at a particular reporting unit, we make assumptions about the amount and timing of future expected cash flows, terminal growth rates, appropriate discount rates, market multiples, and the control premium a controlling shareholder could be expected to pay:</w:t>
      </w:r>
    </w:p>
    <w:p>
      <w:pPr>
        <w:spacing w:after="0" w:line="209" w:lineRule="exact"/>
        <w:rPr>
          <w:sz w:val="20"/>
          <w:szCs w:val="20"/>
          <w:color w:val="auto"/>
        </w:rPr>
      </w:pPr>
    </w:p>
    <w:p>
      <w:pPr>
        <w:ind w:left="980" w:right="20" w:hanging="324"/>
        <w:spacing w:after="0" w:line="255"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future cash flows within our DCF analysis is based on our most recent forecasts and other estimates. Our historical growth rates and operating results are not indicative of our projected growth rates and operating results as a consequence of our acquisitions and divestitures.</w:t>
      </w:r>
    </w:p>
    <w:p>
      <w:pPr>
        <w:spacing w:after="0" w:line="2"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terminal growth rate is used to calculate the value of cash flows beyond the last projected period in our DCF analysis and reflects our best estimates for stable, perpetual growth of our reporting units.</w:t>
      </w:r>
    </w:p>
    <w:p>
      <w:pPr>
        <w:ind w:left="980" w:right="80" w:hanging="324"/>
        <w:spacing w:after="0" w:line="250"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use estimates of market participant weighted average cost of capital (“WACC”) as a basis for determining the discount rates to apply to our reporting units’ future expected cash flows. The significant assumptions within our WACC are: (a) equity risk premium, (b) beta, (c) size premium adjustments, (d) cost of debt and (e) capital structure assumptions. In addition, we may use a company specific risk adjustment which is a subjective adjustment that, by its very nature does not include market related data, but instead examines the prospects of the reporting unit relative to the broader industry to determine if there are specific factors, which may make it more “risky” relative to the industry.</w:t>
      </w:r>
    </w:p>
    <w:p>
      <w:pPr>
        <w:spacing w:after="0" w:line="2"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Recent historical market multiples are used to estimate future market pricing.</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carrying value of goodwill of the US and KGS reportable segments, was $113.8 million and $370.1 million, respectively, at December 27,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38" w:lineRule="exact"/>
        <w:rPr>
          <w:sz w:val="20"/>
          <w:szCs w:val="20"/>
          <w:color w:val="auto"/>
        </w:rPr>
      </w:pPr>
    </w:p>
    <w:p>
      <w:pPr>
        <w:ind w:right="60" w:firstLine="648"/>
        <w:spacing w:after="0" w:line="274" w:lineRule="auto"/>
        <w:rPr>
          <w:sz w:val="20"/>
          <w:szCs w:val="20"/>
          <w:color w:val="auto"/>
        </w:rPr>
      </w:pPr>
      <w:r>
        <w:rPr>
          <w:rFonts w:ascii="Arial" w:cs="Arial" w:eastAsia="Arial" w:hAnsi="Arial"/>
          <w:sz w:val="16"/>
          <w:szCs w:val="16"/>
          <w:color w:val="auto"/>
        </w:rPr>
        <w:t>In determining the fair value of our reporting units, there are key assumptions related to our future operating performance and revenue growth. If the actual operating performance and financial results are not consistent with our assumptions, a further impairment in our $483.9 million goodwill and $43.0 million long-lived intangibles could occur in future periods. In particular, the US reporting unit fair value includes assumptions that the development of the high performance UCAS product is successful and we are awarded future contracts for new tactical unmanned aircraft systems. Additionally, the US reporting unit fair value assumes that the U.S. Navy will continue to award full rate production contracts for the Sub-Sonic Aerial Target. Our goodwill impairment assessment includes assumptions of the entry to new international markets for which we have not yet penetrated. Additional risks for goodwill across all reporting units include, but are not limited to, the risks discussed in Item 1A “Risk Factors” contained within this Annual Report and:</w:t>
      </w:r>
    </w:p>
    <w:p>
      <w:pPr>
        <w:spacing w:after="0" w:line="190" w:lineRule="exact"/>
        <w:rPr>
          <w:sz w:val="20"/>
          <w:szCs w:val="20"/>
          <w:color w:val="auto"/>
        </w:rPr>
      </w:pPr>
    </w:p>
    <w:p>
      <w:pPr>
        <w:ind w:left="980" w:right="120" w:hanging="324"/>
        <w:spacing w:after="0" w:line="258"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decline in our stock price and resulting market capitalization, if we determine the decline is sustained and is indicative of a reduction in the fair value below the carrying value of our reporting units;</w:t>
      </w:r>
    </w:p>
    <w:p>
      <w:pPr>
        <w:spacing w:after="0" w:line="1" w:lineRule="exact"/>
        <w:rPr>
          <w:rFonts w:ascii="Arial" w:cs="Arial" w:eastAsia="Arial" w:hAnsi="Arial"/>
          <w:sz w:val="18"/>
          <w:szCs w:val="18"/>
          <w:color w:val="auto"/>
        </w:rPr>
      </w:pPr>
    </w:p>
    <w:p>
      <w:pPr>
        <w:ind w:left="980" w:right="520" w:hanging="324"/>
        <w:spacing w:after="0" w:line="250"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decrease in available government funding, including budgetary constraints affecting U.S. Government spending generally, or specific departments or agencies;</w:t>
      </w: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U.S. Government programs or requirements, including the increased use of small business providers;</w:t>
      </w:r>
    </w:p>
    <w:p>
      <w:pPr>
        <w:spacing w:after="0" w:line="9" w:lineRule="exact"/>
        <w:rPr>
          <w:rFonts w:ascii="Arial" w:cs="Arial" w:eastAsia="Arial" w:hAnsi="Arial"/>
          <w:sz w:val="18"/>
          <w:szCs w:val="18"/>
          <w:color w:val="auto"/>
        </w:rPr>
      </w:pPr>
    </w:p>
    <w:p>
      <w:pPr>
        <w:ind w:left="980" w:right="400" w:hanging="324"/>
        <w:spacing w:after="0" w:line="250"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failure to reach our internal forecasts could impact our ability to achieve our forecasted levels of cash flows and reduce the estimated discounted value of our reporting units;</w:t>
      </w: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volatility in equity and debt markets resulting in higher discount rates;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market and political factors that could impact the success of new products, especially related to new unmanned systems platforms; and</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continued impact to our businesses and the industry resulting from COVID-19.</w:t>
      </w:r>
    </w:p>
    <w:p>
      <w:pPr>
        <w:spacing w:after="0" w:line="224"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i w:val="1"/>
          <w:iCs w:val="1"/>
          <w:color w:val="auto"/>
        </w:rPr>
        <w:t xml:space="preserve">Accounting for income taxes and tax contingencies. </w:t>
      </w:r>
      <w:r>
        <w:rPr>
          <w:rFonts w:ascii="Arial" w:cs="Arial" w:eastAsia="Arial" w:hAnsi="Arial"/>
          <w:sz w:val="17"/>
          <w:szCs w:val="17"/>
          <w:color w:val="auto"/>
        </w:rPr>
        <w:t>FASB ASC</w:t>
      </w:r>
      <w:r>
        <w:rPr>
          <w:rFonts w:ascii="Arial" w:cs="Arial" w:eastAsia="Arial" w:hAnsi="Arial"/>
          <w:sz w:val="17"/>
          <w:szCs w:val="17"/>
          <w:i w:val="1"/>
          <w:iCs w:val="1"/>
          <w:color w:val="auto"/>
        </w:rPr>
        <w:t xml:space="preserve"> Topic 740 Income Taxes </w:t>
      </w:r>
      <w:r>
        <w:rPr>
          <w:rFonts w:ascii="Arial" w:cs="Arial" w:eastAsia="Arial" w:hAnsi="Arial"/>
          <w:sz w:val="17"/>
          <w:szCs w:val="17"/>
          <w:color w:val="auto"/>
        </w:rPr>
        <w:t>(“</w:t>
      </w:r>
      <w:r>
        <w:rPr>
          <w:rFonts w:ascii="Arial" w:cs="Arial" w:eastAsia="Arial" w:hAnsi="Arial"/>
          <w:sz w:val="17"/>
          <w:szCs w:val="17"/>
          <w:i w:val="1"/>
          <w:iCs w:val="1"/>
          <w:color w:val="auto"/>
        </w:rPr>
        <w:t>Topic 740</w:t>
      </w:r>
      <w:r>
        <w:rPr>
          <w:rFonts w:ascii="Arial" w:cs="Arial" w:eastAsia="Arial" w:hAnsi="Arial"/>
          <w:sz w:val="17"/>
          <w:szCs w:val="17"/>
          <w:color w:val="auto"/>
        </w:rPr>
        <w:t>”) provides the accounting treatment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uncertainty in income taxes recognized in an enterprise’s financial statements. </w:t>
      </w:r>
      <w:r>
        <w:rPr>
          <w:rFonts w:ascii="Arial" w:cs="Arial" w:eastAsia="Arial" w:hAnsi="Arial"/>
          <w:sz w:val="17"/>
          <w:szCs w:val="17"/>
          <w:i w:val="1"/>
          <w:iCs w:val="1"/>
          <w:color w:val="auto"/>
        </w:rPr>
        <w:t>Topic 740</w:t>
      </w:r>
      <w:r>
        <w:rPr>
          <w:rFonts w:ascii="Arial" w:cs="Arial" w:eastAsia="Arial" w:hAnsi="Arial"/>
          <w:sz w:val="17"/>
          <w:szCs w:val="17"/>
          <w:color w:val="auto"/>
        </w:rPr>
        <w:t xml:space="preserve"> prescribes a recognition threshold and measurement attribute for the financial statement recognition and measurement of a tax position taken or expected to be taken in a tax return. </w:t>
      </w:r>
      <w:r>
        <w:rPr>
          <w:rFonts w:ascii="Arial" w:cs="Arial" w:eastAsia="Arial" w:hAnsi="Arial"/>
          <w:sz w:val="17"/>
          <w:szCs w:val="17"/>
          <w:i w:val="1"/>
          <w:iCs w:val="1"/>
          <w:color w:val="auto"/>
        </w:rPr>
        <w:t>Topic 740</w:t>
      </w:r>
      <w:r>
        <w:rPr>
          <w:rFonts w:ascii="Arial" w:cs="Arial" w:eastAsia="Arial" w:hAnsi="Arial"/>
          <w:sz w:val="17"/>
          <w:szCs w:val="17"/>
          <w:color w:val="auto"/>
        </w:rPr>
        <w:t xml:space="preserve"> also provides guidance on derecognizing, classification, interest and penalties, accounting in interim periods, disclosure and transition.</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7" w:name="page58"/>
    <w:bookmarkEnd w:id="57"/>
    <w:p>
      <w:pPr>
        <w:ind w:firstLine="648"/>
        <w:spacing w:after="0" w:line="293"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provision for income taxes in each of the tax jurisdictions in which we conduct business. This process involves estimating our actual current tax expense in conjunction with the evaluation and measurement of temporary differences resulting from differing treatment of certain items for tax and accounting purposes. These temporary differences result in the establishment of deferred tax assets and liabilities, which are recorded on a net basis. We then assess on a periodic basis the probability that our net deferred tax assets will be recovered and therefore realized from future taxable income and to the extent we believe that recovery is not more likely than not, a valuation allowance is established to address such risk resulting in an additional related provision for income taxes during the period.</w:t>
      </w:r>
    </w:p>
    <w:p>
      <w:pPr>
        <w:spacing w:after="0" w:line="19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Significant management judgment is required in determining our provision for income taxes, our deferred tax assets and liabilities, tax contingencies, unrecognized tax benefits, and any required valuation allowance, including taking into consideration the probability of the tax contingencies being incurred. Management assesses this probability based upon information provided to us by our tax advisers, our legal advisers and similar tax cases. If at a later time our assessment of the probability of these tax contingencies changes, our accrual for such tax uncertainties may increase or decrease. During the fourth quarter of 2020, the Company released a significant portion of the valuation allowance. For further discussion see Note 8 “Income Taxes” in the Notes to the Consolidated Financial Statements in this Annual Report.</w:t>
      </w:r>
    </w:p>
    <w:p>
      <w:pPr>
        <w:spacing w:after="0" w:line="21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2020 effective tax rate at December 27, 2020 for annual and interim reporting periods could be impacted if uncertain tax positions that are not recognized at December 27, 2020 are settled at an amount which differs from our estimate.</w:t>
      </w:r>
    </w:p>
    <w:p>
      <w:pPr>
        <w:spacing w:after="0" w:line="19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i w:val="1"/>
          <w:iCs w:val="1"/>
          <w:color w:val="auto"/>
        </w:rPr>
        <w:t xml:space="preserve">Contingencies and litigation. </w:t>
      </w:r>
      <w:r>
        <w:rPr>
          <w:rFonts w:ascii="Arial" w:cs="Arial" w:eastAsia="Arial" w:hAnsi="Arial"/>
          <w:sz w:val="18"/>
          <w:szCs w:val="18"/>
          <w:color w:val="auto"/>
        </w:rPr>
        <w:t>We are currently involved in certain legal proceedings. We estimate a range of liability related to pending litigation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where the amount and range of loss can be estimated. We record our estimate of a loss when the loss is considered probable and reasonably estimable. Where a liability is probable and there is a range of estimated loss and no amount in the range is more likely than any other number in the range, we record the minimum estimated liability related to the claim in accordance with FASB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As additional information becomes available, we assess the potential liability related to our pending litigation and revise our estimates. Revisions in our estimates of potential liability could materially impact our results of operations. See Note 15 of the Notes to Consolidated Financial Statements contained within this Annual Report for a further discussion of our legal proceedings.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See Note 1 of the Notes to Consolidated Financial Statements contained within this Annual Report for a discussion of recent accounting pronouncements.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and Foreign Currency Risks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market risk, primarily related to interest rates and foreign currency exchange rates.</w:t>
      </w:r>
    </w:p>
    <w:p>
      <w:pPr>
        <w:spacing w:after="0" w:line="252"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 xml:space="preserve">Exposure to market risk for changes in interest rates relates to our outstanding debt. We are exposed to interest rate risk, primarily through our borrowing activities under the Credit Agreement discussed under </w:t>
      </w:r>
      <w:r>
        <w:rPr>
          <w:rFonts w:ascii="Arial" w:cs="Arial" w:eastAsia="Arial" w:hAnsi="Arial"/>
          <w:sz w:val="18"/>
          <w:szCs w:val="18"/>
          <w:b w:val="1"/>
          <w:bCs w:val="1"/>
          <w:color w:val="auto"/>
        </w:rPr>
        <w:t>“</w:t>
      </w:r>
      <w:r>
        <w:rPr>
          <w:rFonts w:ascii="Arial" w:cs="Arial" w:eastAsia="Arial" w:hAnsi="Arial"/>
          <w:sz w:val="18"/>
          <w:szCs w:val="18"/>
          <w:color w:val="auto"/>
        </w:rPr>
        <w:t>Liquidity and Capital Resources” above. Based on our current outstanding balances, a 1% change in the LIBOR would not materially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were contracted with investment grade counterparties to reduce exposure to interest rate risk on our prior credit facilities. We had no outstanding derivative financial instruments as of December 27, 2020.</w:t>
      </w:r>
    </w:p>
    <w:p>
      <w:pPr>
        <w:spacing w:after="0" w:line="222" w:lineRule="exact"/>
        <w:rPr>
          <w:sz w:val="20"/>
          <w:szCs w:val="20"/>
          <w:color w:val="auto"/>
        </w:rPr>
      </w:pPr>
    </w:p>
    <w:p>
      <w:pPr>
        <w:ind w:right="140" w:firstLine="648"/>
        <w:spacing w:after="0" w:line="276" w:lineRule="auto"/>
        <w:rPr>
          <w:sz w:val="20"/>
          <w:szCs w:val="20"/>
          <w:color w:val="auto"/>
        </w:rPr>
      </w:pPr>
      <w:r>
        <w:rPr>
          <w:rFonts w:ascii="Arial" w:cs="Arial" w:eastAsia="Arial" w:hAnsi="Arial"/>
          <w:sz w:val="16"/>
          <w:szCs w:val="16"/>
          <w:color w:val="auto"/>
        </w:rPr>
        <w:t>Exposure to market risk for foreign currency exchange rate risk is related to receipts from customers, payments to suppliers and intercompany loans denominated in foreign currencies. Accordingly, a strengthening of the U.S. dollar (“USD”) or a strengthening of certain foreign currencies, such as the Israeli Shekel, will negatively impact revenues and gross margins expressed in consolidated USD terms. For instance, in our Israeli business, we are</w:t>
      </w:r>
    </w:p>
    <w:p>
      <w:pPr>
        <w:spacing w:after="0" w:line="1" w:lineRule="exact"/>
        <w:rPr>
          <w:sz w:val="20"/>
          <w:szCs w:val="20"/>
          <w:color w:val="auto"/>
        </w:rPr>
      </w:pPr>
    </w:p>
    <w:p>
      <w:pPr>
        <w:jc w:val="both"/>
        <w:ind w:right="120"/>
        <w:spacing w:after="0" w:line="260" w:lineRule="auto"/>
        <w:rPr>
          <w:sz w:val="20"/>
          <w:szCs w:val="20"/>
          <w:color w:val="auto"/>
        </w:rPr>
      </w:pPr>
      <w:r>
        <w:rPr>
          <w:rFonts w:ascii="Arial" w:cs="Arial" w:eastAsia="Arial" w:hAnsi="Arial"/>
          <w:sz w:val="17"/>
          <w:szCs w:val="17"/>
          <w:color w:val="auto"/>
        </w:rPr>
        <w:t>paid in USD for work performed but our cost of sales (payroll, materials, subcontract costs, etc.) are paid in Israeli Shekel. We currently enter into limited foreign currency forward contracts to manage foreign currency exchange rate risk because exchange rate fluctuations have had, and we expect will have, minimal impact on our operating results and cash flows. Based on our overall foreign currency rate exposure as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December 27, 2020, including the limited derivative financial instruments that we have entered into to manage this risk, a 10%</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58" w:name="page59"/>
    <w:bookmarkEnd w:id="58"/>
    <w:p>
      <w:pPr>
        <w:ind w:right="2500"/>
        <w:spacing w:after="0" w:line="308" w:lineRule="auto"/>
        <w:rPr>
          <w:sz w:val="20"/>
          <w:szCs w:val="20"/>
          <w:color w:val="auto"/>
        </w:rPr>
      </w:pPr>
      <w:r>
        <w:rPr>
          <w:rFonts w:ascii="Arial" w:cs="Arial" w:eastAsia="Arial" w:hAnsi="Arial"/>
          <w:sz w:val="17"/>
          <w:szCs w:val="17"/>
          <w:color w:val="auto"/>
        </w:rPr>
        <w:t>appreciation or depreciation of the USD from its cross-functional rates would not be expected, in the aggregate, to have a material effect on our financial position, results of operations and cash flows in the near-term.</w:t>
      </w:r>
    </w:p>
    <w:p>
      <w:pPr>
        <w:spacing w:after="0" w:line="173"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Our cash and cash equivalents as of December 27, 2020 were $380.8 million and are primarily invested in money market interest bearing accounts. A hypothetical 10% adverse change in the average interest rate on our money market cash investments and short-term investments would have had no material effect on our net income for the year ended December 27,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 Management</w:t>
      </w:r>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purchase commodities for use in our manufacturing processes. We typically purchase these commodities at market prices, and as a result are affected by market price fluctuations. We have decided not to hedge these exposures as they are deemed immaterial.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Our Consolidated Financial Statements and supplementary data required by this item are set forth at the pages indicated in Item 15(a) (1) and 15(a) (2),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52"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We maintain disclosure controls and procedures, as defined in Rules 13a-15(e) and 15d-15(e) promulgated under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20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As required by Rule 13a-15(b) and 15d-15(b)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Annual Report. Based on the foregoing, our Principal Executive Officer and Principal Financial Officer concluded that our disclosure controls and procedures were effective at the reasonable assurance level as of December 27,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5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and 15d-15(f),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internal controls may become inadequate because of changes in conditions, or because the degree of compliance with the policies and procedures may deteriorate.</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in the 2013 </w:t>
      </w:r>
      <w:r>
        <w:rPr>
          <w:rFonts w:ascii="Arial" w:cs="Arial" w:eastAsia="Arial" w:hAnsi="Arial"/>
          <w:sz w:val="17"/>
          <w:szCs w:val="17"/>
          <w:i w:val="1"/>
          <w:iCs w:val="1"/>
          <w:color w:val="auto"/>
        </w:rPr>
        <w:t>Internal Control-Integrated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issued by the Committee of Sponsoring Organizations of the Treadway Commission. Management's assessment of and conclusion on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effectiveness of internal control over financial reporting as of December 27, 2020 did not include the internal controls of ASC Signal which was acquired by the Company on June 30, 2020. The total assets of ASC Signal, which are now included in the KSTC Division, in aggregate, are approximately 1.0% of the total assets of the Company, and the revenues of ASC Signal comprise approximately</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9" w:name="page60"/>
    <w:bookmarkEnd w:id="59"/>
    <w:p>
      <w:pPr>
        <w:spacing w:after="0" w:line="301" w:lineRule="auto"/>
        <w:rPr>
          <w:sz w:val="20"/>
          <w:szCs w:val="20"/>
          <w:color w:val="auto"/>
        </w:rPr>
      </w:pPr>
      <w:r>
        <w:rPr>
          <w:rFonts w:ascii="Arial" w:cs="Arial" w:eastAsia="Arial" w:hAnsi="Arial"/>
          <w:sz w:val="16"/>
          <w:szCs w:val="16"/>
          <w:color w:val="auto"/>
        </w:rPr>
        <w:t>2.9% of the revenues of the Company, as such amounts for the Company are reflected in the Company’s Consolidated Financial Statements as of and for the fiscal year ended December 27, 2020 included in this Annual Report. Management will perform an assessment of the effectiveness of ASC Signal’s internal control over financial reporting within one year of the date of acquisition. Aside from this exclusion and based on the results of our evaluation, our management concluded that our internal control over financial reporting was effective at the reasonable assurance level as of December 27, 2020.</w:t>
      </w:r>
    </w:p>
    <w:p>
      <w:pPr>
        <w:spacing w:after="0" w:line="184"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Our internal control over financial reporting has been audited by Deloitte &amp; Touche LLP, an independent registered public accounting firm, as stated in their report appearing below, which expresses an unqualified opinion on the effectiveness of our internal control over financial reporting as of December 27,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accounting and reporting (as defined in Rules 13a-15(f) and 15d-15(f) of the Exchange Act) during the fourth quarter of the fiscal year ended December 27, 2020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filed in connection with our 2021 Annual Meeting of Stockholders or an amendment to this Annual Report to be filed with the SEC within 120 days after the close of our fiscal year ended December 27, 2020.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filed in connection with our 2021 Annual Meeting of Stockholders or an amendment to this Annual Report to be filed with the SEC within 120 days after the close of our fiscal year ended December 27, 2020.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filed in connection with our 2021 Annual Meeting of Stockholders or an amendment to this Annual Report to be filed with the SEC within 120 days after the close of our fiscal year ended December 27,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filed in connection with our 2021 Annual Meeting of Stockholders or an amendment to this Annual Report to be filed with the SEC within 120 days after the close of our fiscal year ended December 27, 2020.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9"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filed in connection with our 2021 Annual Meeting of Stockholders or an amendment to this Annual Report to be filed with the SEC within 120 days after the close of our fiscal year ended December 27, 2020.</w:t>
      </w:r>
    </w:p>
    <w:p>
      <w:pPr>
        <w:sectPr>
          <w:pgSz w:w="11900" w:h="16838" w:orient="portrait"/>
          <w:cols w:equalWidth="0" w:num="1">
            <w:col w:w="11160"/>
          </w:cols>
          <w:pgMar w:left="320" w:top="89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95" w:right="419" w:bottom="1440" w:gutter="0" w:footer="0" w:header="0"/>
          <w:type w:val="continuous"/>
        </w:sectPr>
      </w:pPr>
    </w:p>
    <w:bookmarkStart w:id="60" w:name="page61"/>
    <w:bookmarkEnd w:id="60"/>
    <w:p>
      <w:pPr>
        <w:jc w:val="center"/>
        <w:ind w:right="-15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 and Financial Statement Schedules.</w:t>
      </w:r>
    </w:p>
    <w:p>
      <w:pPr>
        <w:spacing w:after="0" w:line="25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8"/>
          <w:szCs w:val="18"/>
          <w:b w:val="1"/>
          <w:bCs w:val="1"/>
          <w:color w:val="auto"/>
        </w:rPr>
        <w:t>(a)(1)</w:t>
      </w:r>
      <w:r>
        <w:rPr>
          <w:sz w:val="20"/>
          <w:szCs w:val="20"/>
          <w:color w:val="auto"/>
        </w:rPr>
        <w:tab/>
      </w:r>
      <w:r>
        <w:rPr>
          <w:rFonts w:ascii="Arial" w:cs="Arial" w:eastAsia="Arial" w:hAnsi="Arial"/>
          <w:sz w:val="15"/>
          <w:szCs w:val="15"/>
          <w:b w:val="1"/>
          <w:bCs w:val="1"/>
          <w:color w:val="auto"/>
        </w:rPr>
        <w:t>Financial Statements</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Consolidated Financial Statements of Kratos Defense &amp; Security Solutions, Inc. and Report of Deloitte &amp; Touche LLP, Independent Registered Public Accounting Firm, are included in a separate section of this Annual Report beginning on page F-1.</w:t>
      </w:r>
    </w:p>
    <w:p>
      <w:pPr>
        <w:spacing w:after="0" w:line="19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8"/>
          <w:szCs w:val="18"/>
          <w:b w:val="1"/>
          <w:bCs w:val="1"/>
          <w:color w:val="auto"/>
        </w:rPr>
        <w:t>(a)(2)</w:t>
      </w:r>
      <w:r>
        <w:rPr>
          <w:sz w:val="20"/>
          <w:szCs w:val="20"/>
          <w:color w:val="auto"/>
        </w:rPr>
        <w:tab/>
      </w:r>
      <w:r>
        <w:rPr>
          <w:rFonts w:ascii="Arial" w:cs="Arial" w:eastAsia="Arial" w:hAnsi="Arial"/>
          <w:sz w:val="15"/>
          <w:szCs w:val="15"/>
          <w:b w:val="1"/>
          <w:bCs w:val="1"/>
          <w:color w:val="auto"/>
        </w:rPr>
        <w:t>Financial Statement Schedules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schedules have been omitted because they are not applicable or are not required or the information required to be set forth therein is included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891" w:right="49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color w:val="auto"/>
        </w:rPr>
        <w:t>(a) (3) Exhibits</w:t>
      </w:r>
    </w:p>
    <w:p>
      <w:pPr>
        <w:sectPr>
          <w:pgSz w:w="11900" w:h="16838" w:orient="portrait"/>
          <w:cols w:equalWidth="0" w:num="1">
            <w:col w:w="11180"/>
          </w:cols>
          <w:pgMar w:left="320" w:top="89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020" w:type="dxa"/>
            <w:vAlign w:val="bottom"/>
            <w:gridSpan w:val="28"/>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8"/>
        </w:trPr>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4020" w:type="dxa"/>
            <w:vAlign w:val="bottom"/>
            <w:gridSpan w:val="2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30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20" w:type="dxa"/>
            <w:vAlign w:val="bottom"/>
            <w:tcBorders>
              <w:top w:val="single" w:sz="8" w:color="auto"/>
            </w:tcBorders>
            <w:gridSpan w:val="28"/>
          </w:tcPr>
          <w:p>
            <w:pPr>
              <w:spacing w:after="0" w:line="184" w:lineRule="exact"/>
              <w:rPr>
                <w:rFonts w:ascii="Arial" w:cs="Arial" w:eastAsia="Arial" w:hAnsi="Arial"/>
                <w:sz w:val="18"/>
                <w:szCs w:val="18"/>
                <w:color w:val="0000FF"/>
                <w:w w:val="93"/>
              </w:rPr>
            </w:pPr>
            <w:hyperlink r:id="rId77">
              <w:r>
                <w:rPr>
                  <w:rFonts w:ascii="Arial" w:cs="Arial" w:eastAsia="Arial" w:hAnsi="Arial"/>
                  <w:sz w:val="18"/>
                  <w:szCs w:val="18"/>
                  <w:color w:val="0000FF"/>
                  <w:w w:val="93"/>
                </w:rPr>
                <w:t>Stock Purchase Agreement, dated February 28, 2018</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tcBorders>
            <w:gridSpan w:val="21"/>
          </w:tcPr>
          <w:p>
            <w:pPr>
              <w:spacing w:after="0" w:line="156" w:lineRule="exact"/>
              <w:rPr>
                <w:rFonts w:ascii="Arial" w:cs="Arial" w:eastAsia="Arial" w:hAnsi="Arial"/>
                <w:sz w:val="18"/>
                <w:szCs w:val="18"/>
                <w:color w:val="0000FF"/>
                <w:w w:val="95"/>
              </w:rPr>
            </w:pPr>
            <w:hyperlink r:id="rId77">
              <w:r>
                <w:rPr>
                  <w:rFonts w:ascii="Arial" w:cs="Arial" w:eastAsia="Arial" w:hAnsi="Arial"/>
                  <w:sz w:val="18"/>
                  <w:szCs w:val="18"/>
                  <w:color w:val="0000FF"/>
                  <w:w w:val="95"/>
                </w:rPr>
                <w:t>among Kratos Defense &amp; Security Solutions, Inc.,</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0"/>
              </w:rPr>
            </w:pPr>
            <w:hyperlink r:id="rId77">
              <w:r>
                <w:rPr>
                  <w:rFonts w:ascii="Arial" w:cs="Arial" w:eastAsia="Arial" w:hAnsi="Arial"/>
                  <w:sz w:val="18"/>
                  <w:szCs w:val="18"/>
                  <w:color w:val="0000FF"/>
                  <w:w w:val="90"/>
                </w:rPr>
                <w:t>Kratos Public Safety &amp;Security Solutions, Inc.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gridSpan w:val="17"/>
          </w:tcPr>
          <w:p>
            <w:pPr>
              <w:spacing w:after="0" w:line="156" w:lineRule="exact"/>
              <w:rPr>
                <w:rFonts w:ascii="Arial" w:cs="Arial" w:eastAsia="Arial" w:hAnsi="Arial"/>
                <w:sz w:val="18"/>
                <w:szCs w:val="18"/>
                <w:color w:val="0000FF"/>
              </w:rPr>
            </w:pPr>
            <w:hyperlink r:id="rId77">
              <w:r>
                <w:rPr>
                  <w:rFonts w:ascii="Arial" w:cs="Arial" w:eastAsia="Arial" w:hAnsi="Arial"/>
                  <w:sz w:val="18"/>
                  <w:szCs w:val="18"/>
                  <w:color w:val="0000FF"/>
                </w:rPr>
                <w:t>Securitas Electronic Security, Inc</w:t>
              </w:r>
              <w:r>
                <w:rPr>
                  <w:rFonts w:ascii="Arial" w:cs="Arial" w:eastAsia="Arial" w:hAnsi="Arial"/>
                  <w:sz w:val="18"/>
                  <w:szCs w:val="18"/>
                  <w:color w:val="000000"/>
                </w:rPr>
                <w:t>.</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gridSpan w:val="28"/>
          </w:tcPr>
          <w:p>
            <w:pPr>
              <w:spacing w:after="0"/>
              <w:rPr>
                <w:rFonts w:ascii="Arial" w:cs="Arial" w:eastAsia="Arial" w:hAnsi="Arial"/>
                <w:sz w:val="18"/>
                <w:szCs w:val="18"/>
                <w:color w:val="0000FF"/>
                <w:w w:val="90"/>
              </w:rPr>
            </w:pPr>
            <w:hyperlink r:id="rId78">
              <w:r>
                <w:rPr>
                  <w:rFonts w:ascii="Arial" w:cs="Arial" w:eastAsia="Arial" w:hAnsi="Arial"/>
                  <w:sz w:val="18"/>
                  <w:szCs w:val="18"/>
                  <w:color w:val="0000FF"/>
                  <w:w w:val="90"/>
                </w:rPr>
                <w:t>Purchase Agreement, dated February 27, 2019, by and</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23"/>
          </w:tcPr>
          <w:p>
            <w:pPr>
              <w:spacing w:after="0" w:line="156" w:lineRule="exact"/>
              <w:rPr>
                <w:rFonts w:ascii="Arial" w:cs="Arial" w:eastAsia="Arial" w:hAnsi="Arial"/>
                <w:sz w:val="18"/>
                <w:szCs w:val="18"/>
                <w:color w:val="0000FF"/>
                <w:w w:val="98"/>
              </w:rPr>
            </w:pPr>
            <w:hyperlink r:id="rId78">
              <w:r>
                <w:rPr>
                  <w:rFonts w:ascii="Arial" w:cs="Arial" w:eastAsia="Arial" w:hAnsi="Arial"/>
                  <w:sz w:val="18"/>
                  <w:szCs w:val="18"/>
                  <w:color w:val="0000FF"/>
                  <w:w w:val="98"/>
                </w:rPr>
                <w:t>among Kratos Defense &amp; Security Solutions,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tcBorders>
            <w:gridSpan w:val="14"/>
          </w:tcPr>
          <w:p>
            <w:pPr>
              <w:spacing w:after="0" w:line="156" w:lineRule="exact"/>
              <w:rPr>
                <w:rFonts w:ascii="Arial" w:cs="Arial" w:eastAsia="Arial" w:hAnsi="Arial"/>
                <w:sz w:val="18"/>
                <w:szCs w:val="18"/>
                <w:color w:val="0000FF"/>
                <w:w w:val="95"/>
              </w:rPr>
            </w:pPr>
            <w:hyperlink r:id="rId78">
              <w:r>
                <w:rPr>
                  <w:rFonts w:ascii="Arial" w:cs="Arial" w:eastAsia="Arial" w:hAnsi="Arial"/>
                  <w:sz w:val="18"/>
                  <w:szCs w:val="18"/>
                  <w:color w:val="0000FF"/>
                  <w:w w:val="95"/>
                </w:rPr>
                <w:t>Shirley Brostmeyer, (“SB”), Joseph Brostmeyer</w:t>
              </w:r>
            </w:hyperlink>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top w:val="single" w:sz="8" w:color="0000FF"/>
            </w:tcBorders>
            <w:gridSpan w:val="10"/>
          </w:tcPr>
          <w:p>
            <w:pPr>
              <w:spacing w:after="0" w:line="156"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(“JB”), certain trusts established by SB, JB and</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0" w:type="dxa"/>
            <w:vAlign w:val="bottom"/>
            <w:tcBorders>
              <w:top w:val="single" w:sz="8" w:color="0000FF"/>
            </w:tcBorders>
            <w:gridSpan w:val="9"/>
          </w:tcPr>
          <w:p>
            <w:pPr>
              <w:spacing w:after="0" w:line="142" w:lineRule="exact"/>
              <w:rPr>
                <w:rFonts w:ascii="Arial" w:cs="Arial" w:eastAsia="Arial" w:hAnsi="Arial"/>
                <w:sz w:val="16"/>
                <w:szCs w:val="16"/>
                <w:u w:val="single" w:color="auto"/>
                <w:color w:val="0000FF"/>
              </w:rPr>
            </w:pPr>
            <w:hyperlink r:id="rId78">
              <w:r>
                <w:rPr>
                  <w:rFonts w:ascii="Arial" w:cs="Arial" w:eastAsia="Arial" w:hAnsi="Arial"/>
                  <w:sz w:val="16"/>
                  <w:szCs w:val="16"/>
                  <w:u w:val="single" w:color="auto"/>
                  <w:color w:val="0000FF"/>
                </w:rPr>
                <w:t>members of their immediate family, and JB, as</w:t>
              </w:r>
            </w:hyperlink>
          </w:p>
        </w:tc>
        <w:tc>
          <w:tcPr>
            <w:tcW w:w="620" w:type="dxa"/>
            <w:vAlign w:val="bottom"/>
            <w:gridSpan w:val="19"/>
          </w:tcPr>
          <w:p>
            <w:pPr>
              <w:spacing w:after="0" w:line="142" w:lineRule="exact"/>
              <w:rPr>
                <w:rFonts w:ascii="Arial" w:cs="Arial" w:eastAsia="Arial" w:hAnsi="Arial"/>
                <w:sz w:val="16"/>
                <w:szCs w:val="16"/>
                <w:u w:val="single" w:color="auto"/>
                <w:color w:val="0000FF"/>
              </w:rPr>
            </w:pPr>
            <w:hyperlink r:id="rId78">
              <w:r>
                <w:rPr>
                  <w:rFonts w:ascii="Arial" w:cs="Arial" w:eastAsia="Arial" w:hAnsi="Arial"/>
                  <w:sz w:val="16"/>
                  <w:szCs w:val="16"/>
                  <w:u w:val="single" w:color="auto"/>
                  <w:color w:val="0000FF"/>
                </w:rPr>
                <w:t>the</w:t>
              </w:r>
            </w:hyperlink>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20" w:type="dxa"/>
            <w:vAlign w:val="bottom"/>
            <w:gridSpan w:val="28"/>
          </w:tcPr>
          <w:p>
            <w:pPr>
              <w:spacing w:after="0"/>
              <w:rPr>
                <w:rFonts w:ascii="Arial" w:cs="Arial" w:eastAsia="Arial" w:hAnsi="Arial"/>
                <w:sz w:val="18"/>
                <w:szCs w:val="18"/>
                <w:u w:val="single" w:color="auto"/>
                <w:color w:val="0000FF"/>
              </w:rPr>
            </w:pPr>
            <w:hyperlink r:id="rId78">
              <w:r>
                <w:rPr>
                  <w:rFonts w:ascii="Arial" w:cs="Arial" w:eastAsia="Arial" w:hAnsi="Arial"/>
                  <w:sz w:val="18"/>
                  <w:szCs w:val="18"/>
                  <w:u w:val="single" w:color="auto"/>
                  <w:color w:val="0000FF"/>
                </w:rPr>
                <w:t>Sellers Representative.</w:t>
              </w:r>
            </w:hyperlink>
          </w:p>
        </w:tc>
        <w:tc>
          <w:tcPr>
            <w:tcW w:w="0" w:type="dxa"/>
            <w:vAlign w:val="bottom"/>
          </w:tcPr>
          <w:p>
            <w:pPr>
              <w:spacing w:after="0"/>
              <w:rPr>
                <w:sz w:val="1"/>
                <w:szCs w:val="1"/>
                <w:color w:val="auto"/>
              </w:rPr>
            </w:pPr>
          </w:p>
        </w:tc>
      </w:tr>
      <w:tr>
        <w:trPr>
          <w:trHeight w:val="190"/>
        </w:trPr>
        <w:tc>
          <w:tcPr>
            <w:tcW w:w="1300" w:type="dxa"/>
            <w:vAlign w:val="bottom"/>
          </w:tcPr>
          <w:p>
            <w:pPr>
              <w:ind w:left="20"/>
              <w:spacing w:after="0" w:line="190"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20" w:type="dxa"/>
            <w:vAlign w:val="bottom"/>
            <w:gridSpan w:val="28"/>
          </w:tcPr>
          <w:p>
            <w:pPr>
              <w:spacing w:after="0" w:line="190" w:lineRule="exact"/>
              <w:rPr>
                <w:rFonts w:ascii="Arial" w:cs="Arial" w:eastAsia="Arial" w:hAnsi="Arial"/>
                <w:sz w:val="18"/>
                <w:szCs w:val="18"/>
                <w:color w:val="0000FF"/>
                <w:w w:val="94"/>
              </w:rPr>
            </w:pPr>
            <w:hyperlink r:id="rId79">
              <w:r>
                <w:rPr>
                  <w:rFonts w:ascii="Arial" w:cs="Arial" w:eastAsia="Arial" w:hAnsi="Arial"/>
                  <w:sz w:val="18"/>
                  <w:szCs w:val="18"/>
                  <w:color w:val="0000FF"/>
                  <w:w w:val="94"/>
                </w:rPr>
                <w:t>Amended and Restated Certificate of Incorporation of</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79">
              <w:r>
                <w:rPr>
                  <w:rFonts w:ascii="Arial" w:cs="Arial" w:eastAsia="Arial" w:hAnsi="Arial"/>
                  <w:sz w:val="18"/>
                  <w:szCs w:val="18"/>
                  <w:color w:val="0000FF"/>
                </w:rPr>
                <w:t>Kratos Defense &amp; Security Solutions, Inc., as</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79">
              <w:r>
                <w:rPr>
                  <w:rFonts w:ascii="Arial" w:cs="Arial" w:eastAsia="Arial" w:hAnsi="Arial"/>
                  <w:sz w:val="18"/>
                  <w:szCs w:val="18"/>
                  <w:color w:val="0000FF"/>
                  <w:w w:val="84"/>
                </w:rPr>
                <w:t>amended.</w:t>
              </w:r>
            </w:hyperlink>
          </w:p>
        </w:tc>
        <w:tc>
          <w:tcPr>
            <w:tcW w:w="256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gridSpan w:val="28"/>
          </w:tcPr>
          <w:p>
            <w:pPr>
              <w:spacing w:after="0"/>
              <w:rPr>
                <w:rFonts w:ascii="Arial" w:cs="Arial" w:eastAsia="Arial" w:hAnsi="Arial"/>
                <w:sz w:val="18"/>
                <w:szCs w:val="18"/>
                <w:color w:val="0000FF"/>
              </w:rPr>
            </w:pPr>
            <w:hyperlink r:id="rId80">
              <w:r>
                <w:rPr>
                  <w:rFonts w:ascii="Arial" w:cs="Arial" w:eastAsia="Arial" w:hAnsi="Arial"/>
                  <w:sz w:val="18"/>
                  <w:szCs w:val="18"/>
                  <w:color w:val="0000FF"/>
                </w:rPr>
                <w:t>Second Amended and Restated Bylaws of Kratos</w:t>
              </w:r>
            </w:hyperlink>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40" w:type="dxa"/>
            <w:vAlign w:val="bottom"/>
            <w:tcBorders>
              <w:top w:val="single" w:sz="8" w:color="0000FF"/>
            </w:tcBorders>
            <w:gridSpan w:val="11"/>
          </w:tcPr>
          <w:p>
            <w:pPr>
              <w:spacing w:after="0" w:line="195" w:lineRule="exact"/>
              <w:rPr>
                <w:rFonts w:ascii="Arial" w:cs="Arial" w:eastAsia="Arial" w:hAnsi="Arial"/>
                <w:sz w:val="18"/>
                <w:szCs w:val="18"/>
                <w:u w:val="single" w:color="auto"/>
                <w:color w:val="0000FF"/>
                <w:w w:val="91"/>
              </w:rPr>
            </w:pPr>
            <w:hyperlink r:id="rId80">
              <w:r>
                <w:rPr>
                  <w:rFonts w:ascii="Arial" w:cs="Arial" w:eastAsia="Arial" w:hAnsi="Arial"/>
                  <w:sz w:val="18"/>
                  <w:szCs w:val="18"/>
                  <w:u w:val="single" w:color="auto"/>
                  <w:color w:val="0000FF"/>
                  <w:w w:val="91"/>
                </w:rPr>
                <w:t>Defense &amp; Security Solutions, Inc., as amended.</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3"/>
          </w:tcPr>
          <w:p>
            <w:pPr>
              <w:spacing w:after="0"/>
              <w:rPr>
                <w:sz w:val="16"/>
                <w:szCs w:val="16"/>
                <w:color w:val="auto"/>
              </w:rPr>
            </w:pP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20" w:type="dxa"/>
            <w:vAlign w:val="bottom"/>
            <w:gridSpan w:val="28"/>
          </w:tcPr>
          <w:p>
            <w:pPr>
              <w:spacing w:after="0"/>
              <w:rPr>
                <w:rFonts w:ascii="Arial" w:cs="Arial" w:eastAsia="Arial" w:hAnsi="Arial"/>
                <w:sz w:val="18"/>
                <w:szCs w:val="18"/>
                <w:color w:val="0000FF"/>
              </w:rPr>
            </w:pPr>
            <w:hyperlink r:id="rId81">
              <w:r>
                <w:rPr>
                  <w:rFonts w:ascii="Arial" w:cs="Arial" w:eastAsia="Arial" w:hAnsi="Arial"/>
                  <w:sz w:val="18"/>
                  <w:szCs w:val="18"/>
                  <w:u w:val="single" w:color="auto"/>
                  <w:color w:val="0000FF"/>
                </w:rPr>
                <w:t>Specimen Stock Certificate</w:t>
              </w:r>
              <w:r>
                <w:rPr>
                  <w:rFonts w:ascii="Arial" w:cs="Arial" w:eastAsia="Arial" w:hAnsi="Arial"/>
                  <w:sz w:val="18"/>
                  <w:szCs w:val="18"/>
                  <w:color w:val="0000FF"/>
                </w:rPr>
                <w:t>.</w:t>
              </w:r>
            </w:hyperlink>
          </w:p>
        </w:tc>
        <w:tc>
          <w:tcPr>
            <w:tcW w:w="0" w:type="dxa"/>
            <w:vAlign w:val="bottom"/>
          </w:tcPr>
          <w:p>
            <w:pPr>
              <w:spacing w:after="0"/>
              <w:rPr>
                <w:sz w:val="1"/>
                <w:szCs w:val="1"/>
                <w:color w:val="auto"/>
              </w:rPr>
            </w:pPr>
          </w:p>
        </w:tc>
      </w:tr>
      <w:tr>
        <w:trPr>
          <w:trHeight w:val="364"/>
        </w:trPr>
        <w:tc>
          <w:tcPr>
            <w:tcW w:w="130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tcBorders>
              <w:bottom w:val="single" w:sz="8" w:color="0000FF"/>
            </w:tcBorders>
            <w:gridSpan w:val="16"/>
          </w:tcPr>
          <w:p>
            <w:pPr>
              <w:spacing w:after="0"/>
              <w:rPr>
                <w:rFonts w:ascii="Arial" w:cs="Arial" w:eastAsia="Arial" w:hAnsi="Arial"/>
                <w:sz w:val="18"/>
                <w:szCs w:val="18"/>
                <w:color w:val="0000FF"/>
                <w:w w:val="89"/>
              </w:rPr>
            </w:pPr>
            <w:hyperlink r:id="rId82">
              <w:r>
                <w:rPr>
                  <w:rFonts w:ascii="Arial" w:cs="Arial" w:eastAsia="Arial" w:hAnsi="Arial"/>
                  <w:sz w:val="18"/>
                  <w:szCs w:val="18"/>
                  <w:color w:val="0000FF"/>
                  <w:w w:val="89"/>
                </w:rPr>
                <w:t>Indenture, dated as of November 20, 2017, among</w:t>
              </w:r>
            </w:hyperlink>
          </w:p>
        </w:tc>
        <w:tc>
          <w:tcPr>
            <w:tcW w:w="3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gridSpan w:val="28"/>
          </w:tcPr>
          <w:p>
            <w:pPr>
              <w:spacing w:after="0" w:line="156" w:lineRule="exact"/>
              <w:rPr>
                <w:rFonts w:ascii="Arial" w:cs="Arial" w:eastAsia="Arial" w:hAnsi="Arial"/>
                <w:sz w:val="18"/>
                <w:szCs w:val="18"/>
                <w:color w:val="0000FF"/>
                <w:w w:val="95"/>
              </w:rPr>
            </w:pPr>
            <w:hyperlink r:id="rId82">
              <w:r>
                <w:rPr>
                  <w:rFonts w:ascii="Arial" w:cs="Arial" w:eastAsia="Arial" w:hAnsi="Arial"/>
                  <w:sz w:val="18"/>
                  <w:szCs w:val="18"/>
                  <w:color w:val="0000FF"/>
                  <w:w w:val="95"/>
                </w:rPr>
                <w:t>Kratos Defense &amp; Security Solutions, Inc., as Issuer,</w:t>
              </w:r>
            </w:hyperlink>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top w:val="single" w:sz="8" w:color="0000FF"/>
            </w:tcBorders>
            <w:gridSpan w:val="20"/>
          </w:tcPr>
          <w:p>
            <w:pPr>
              <w:spacing w:after="0" w:line="156" w:lineRule="exact"/>
              <w:rPr>
                <w:rFonts w:ascii="Arial" w:cs="Arial" w:eastAsia="Arial" w:hAnsi="Arial"/>
                <w:sz w:val="18"/>
                <w:szCs w:val="18"/>
                <w:color w:val="0000FF"/>
                <w:w w:val="91"/>
              </w:rPr>
            </w:pPr>
            <w:hyperlink r:id="rId82">
              <w:r>
                <w:rPr>
                  <w:rFonts w:ascii="Arial" w:cs="Arial" w:eastAsia="Arial" w:hAnsi="Arial"/>
                  <w:sz w:val="18"/>
                  <w:szCs w:val="18"/>
                  <w:color w:val="0000FF"/>
                  <w:w w:val="91"/>
                </w:rPr>
                <w:t>the Guarantors party thereto, and Wilmington Trust,</w:t>
              </w:r>
            </w:hyperlink>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20" w:type="dxa"/>
            <w:vAlign w:val="bottom"/>
            <w:gridSpan w:val="28"/>
          </w:tcPr>
          <w:p>
            <w:pPr>
              <w:spacing w:after="0" w:line="195" w:lineRule="exact"/>
              <w:rPr>
                <w:rFonts w:ascii="Arial" w:cs="Arial" w:eastAsia="Arial" w:hAnsi="Arial"/>
                <w:sz w:val="18"/>
                <w:szCs w:val="18"/>
                <w:u w:val="single" w:color="auto"/>
                <w:color w:val="0000FF"/>
                <w:w w:val="92"/>
              </w:rPr>
            </w:pPr>
            <w:hyperlink r:id="rId82">
              <w:r>
                <w:rPr>
                  <w:rFonts w:ascii="Arial" w:cs="Arial" w:eastAsia="Arial" w:hAnsi="Arial"/>
                  <w:sz w:val="18"/>
                  <w:szCs w:val="18"/>
                  <w:u w:val="single" w:color="auto"/>
                  <w:color w:val="0000FF"/>
                  <w:w w:val="92"/>
                </w:rPr>
                <w:t>National Association, as Trustee and Collateral Agent.</w:t>
              </w:r>
            </w:hyperlink>
          </w:p>
        </w:tc>
        <w:tc>
          <w:tcPr>
            <w:tcW w:w="0" w:type="dxa"/>
            <w:vAlign w:val="bottom"/>
          </w:tcPr>
          <w:p>
            <w:pPr>
              <w:spacing w:after="0"/>
              <w:rPr>
                <w:sz w:val="1"/>
                <w:szCs w:val="1"/>
                <w:color w:val="auto"/>
              </w:rPr>
            </w:pPr>
          </w:p>
        </w:tc>
      </w:tr>
      <w:tr>
        <w:trPr>
          <w:trHeight w:val="190"/>
        </w:trPr>
        <w:tc>
          <w:tcPr>
            <w:tcW w:w="1300" w:type="dxa"/>
            <w:vAlign w:val="bottom"/>
          </w:tcPr>
          <w:p>
            <w:pPr>
              <w:ind w:left="20"/>
              <w:spacing w:after="0" w:line="190"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20" w:type="dxa"/>
            <w:vAlign w:val="bottom"/>
            <w:gridSpan w:val="28"/>
          </w:tcPr>
          <w:p>
            <w:pPr>
              <w:spacing w:after="0" w:line="190" w:lineRule="exact"/>
              <w:rPr>
                <w:rFonts w:ascii="Arial" w:cs="Arial" w:eastAsia="Arial" w:hAnsi="Arial"/>
                <w:sz w:val="18"/>
                <w:szCs w:val="18"/>
                <w:color w:val="0000FF"/>
                <w:w w:val="95"/>
              </w:rPr>
            </w:pPr>
            <w:hyperlink r:id="rId83">
              <w:r>
                <w:rPr>
                  <w:rFonts w:ascii="Arial" w:cs="Arial" w:eastAsia="Arial" w:hAnsi="Arial"/>
                  <w:sz w:val="18"/>
                  <w:szCs w:val="18"/>
                  <w:color w:val="0000FF"/>
                  <w:w w:val="95"/>
                </w:rPr>
                <w:t>First Supplemental Indenture, dated as of December</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gridSpan w:val="28"/>
          </w:tcPr>
          <w:p>
            <w:pPr>
              <w:spacing w:after="0" w:line="156" w:lineRule="exact"/>
              <w:rPr>
                <w:rFonts w:ascii="Arial" w:cs="Arial" w:eastAsia="Arial" w:hAnsi="Arial"/>
                <w:sz w:val="18"/>
                <w:szCs w:val="18"/>
                <w:color w:val="0000FF"/>
                <w:w w:val="91"/>
              </w:rPr>
            </w:pPr>
            <w:hyperlink r:id="rId83">
              <w:r>
                <w:rPr>
                  <w:rFonts w:ascii="Arial" w:cs="Arial" w:eastAsia="Arial" w:hAnsi="Arial"/>
                  <w:sz w:val="18"/>
                  <w:szCs w:val="18"/>
                  <w:color w:val="0000FF"/>
                  <w:w w:val="91"/>
                </w:rPr>
                <w:t>21, 2017, among Kratos Defense &amp; Security Solutions,</w:t>
              </w:r>
            </w:hyperlink>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8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88"/>
              </w:rPr>
            </w:pPr>
            <w:hyperlink r:id="rId83">
              <w:r>
                <w:rPr>
                  <w:rFonts w:ascii="Arial" w:cs="Arial" w:eastAsia="Arial" w:hAnsi="Arial"/>
                  <w:sz w:val="18"/>
                  <w:szCs w:val="18"/>
                  <w:color w:val="0000FF"/>
                  <w:w w:val="88"/>
                </w:rPr>
                <w:t>Inc., as Issuer, the Guarantor as party thereto, and</w:t>
              </w:r>
            </w:hyperlink>
          </w:p>
        </w:tc>
        <w:tc>
          <w:tcPr>
            <w:tcW w:w="42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20" w:type="dxa"/>
            <w:vAlign w:val="bottom"/>
            <w:gridSpan w:val="28"/>
          </w:tcPr>
          <w:p>
            <w:pPr>
              <w:spacing w:after="0" w:line="195" w:lineRule="exact"/>
              <w:rPr>
                <w:rFonts w:ascii="Arial" w:cs="Arial" w:eastAsia="Arial" w:hAnsi="Arial"/>
                <w:sz w:val="18"/>
                <w:szCs w:val="18"/>
                <w:u w:val="single" w:color="auto"/>
                <w:color w:val="0000FF"/>
                <w:w w:val="97"/>
              </w:rPr>
            </w:pPr>
            <w:hyperlink r:id="rId83">
              <w:r>
                <w:rPr>
                  <w:rFonts w:ascii="Arial" w:cs="Arial" w:eastAsia="Arial" w:hAnsi="Arial"/>
                  <w:sz w:val="18"/>
                  <w:szCs w:val="18"/>
                  <w:u w:val="single" w:color="auto"/>
                  <w:color w:val="0000FF"/>
                  <w:w w:val="97"/>
                </w:rPr>
                <w:t>Wilmington Trust, National Association, as Trustee.</w:t>
              </w:r>
            </w:hyperlink>
          </w:p>
        </w:tc>
        <w:tc>
          <w:tcPr>
            <w:tcW w:w="0" w:type="dxa"/>
            <w:vAlign w:val="bottom"/>
          </w:tcPr>
          <w:p>
            <w:pPr>
              <w:spacing w:after="0"/>
              <w:rPr>
                <w:sz w:val="1"/>
                <w:szCs w:val="1"/>
                <w:color w:val="auto"/>
              </w:rPr>
            </w:pPr>
          </w:p>
        </w:tc>
      </w:tr>
      <w:tr>
        <w:trPr>
          <w:trHeight w:val="190"/>
        </w:trPr>
        <w:tc>
          <w:tcPr>
            <w:tcW w:w="1300" w:type="dxa"/>
            <w:vAlign w:val="bottom"/>
          </w:tcPr>
          <w:p>
            <w:pPr>
              <w:ind w:left="20"/>
              <w:spacing w:after="0" w:line="190" w:lineRule="exact"/>
              <w:rPr>
                <w:sz w:val="20"/>
                <w:szCs w:val="20"/>
                <w:color w:val="auto"/>
              </w:rPr>
            </w:pPr>
            <w:r>
              <w:rPr>
                <w:rFonts w:ascii="Arial" w:cs="Arial" w:eastAsia="Arial" w:hAnsi="Arial"/>
                <w:sz w:val="18"/>
                <w:szCs w:val="18"/>
                <w:color w:val="auto"/>
              </w:rPr>
              <w:t>4.4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20" w:type="dxa"/>
            <w:vAlign w:val="bottom"/>
            <w:gridSpan w:val="28"/>
          </w:tcPr>
          <w:p>
            <w:pPr>
              <w:spacing w:after="0" w:line="190" w:lineRule="exact"/>
              <w:rPr>
                <w:rFonts w:ascii="Arial" w:cs="Arial" w:eastAsia="Arial" w:hAnsi="Arial"/>
                <w:sz w:val="18"/>
                <w:szCs w:val="18"/>
                <w:color w:val="0000FF"/>
              </w:rPr>
            </w:pPr>
            <w:hyperlink r:id="rId84">
              <w:r>
                <w:rPr>
                  <w:rFonts w:ascii="Arial" w:cs="Arial" w:eastAsia="Arial" w:hAnsi="Arial"/>
                  <w:sz w:val="18"/>
                  <w:szCs w:val="18"/>
                  <w:color w:val="0000FF"/>
                </w:rPr>
                <w:t>Description of Equity Securities Registered under</w:t>
              </w:r>
            </w:hyperlink>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84">
              <w:r>
                <w:rPr>
                  <w:rFonts w:ascii="Arial" w:cs="Arial" w:eastAsia="Arial" w:hAnsi="Arial"/>
                  <w:sz w:val="18"/>
                  <w:szCs w:val="18"/>
                  <w:color w:val="0000FF"/>
                </w:rPr>
                <w:t>Section 12 of the Exchange Act.</w:t>
              </w:r>
            </w:hyperlink>
          </w:p>
        </w:tc>
        <w:tc>
          <w:tcPr>
            <w:tcW w:w="1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gridSpan w:val="28"/>
          </w:tcPr>
          <w:p>
            <w:pPr>
              <w:spacing w:after="0"/>
              <w:rPr>
                <w:rFonts w:ascii="Arial" w:cs="Arial" w:eastAsia="Arial" w:hAnsi="Arial"/>
                <w:sz w:val="18"/>
                <w:szCs w:val="18"/>
                <w:color w:val="0000FF"/>
                <w:w w:val="96"/>
              </w:rPr>
            </w:pPr>
            <w:hyperlink r:id="rId85">
              <w:r>
                <w:rPr>
                  <w:rFonts w:ascii="Arial" w:cs="Arial" w:eastAsia="Arial" w:hAnsi="Arial"/>
                  <w:sz w:val="18"/>
                  <w:szCs w:val="18"/>
                  <w:color w:val="0000FF"/>
                  <w:w w:val="96"/>
                </w:rPr>
                <w:t>Form of Indemnification Agreement by and between</w:t>
              </w:r>
            </w:hyperlink>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tcBorders>
            <w:gridSpan w:val="21"/>
          </w:tcPr>
          <w:p>
            <w:pPr>
              <w:spacing w:after="0" w:line="156" w:lineRule="exact"/>
              <w:rPr>
                <w:rFonts w:ascii="Arial" w:cs="Arial" w:eastAsia="Arial" w:hAnsi="Arial"/>
                <w:sz w:val="18"/>
                <w:szCs w:val="18"/>
                <w:color w:val="0000FF"/>
                <w:w w:val="97"/>
              </w:rPr>
            </w:pPr>
            <w:hyperlink r:id="rId85">
              <w:r>
                <w:rPr>
                  <w:rFonts w:ascii="Arial" w:cs="Arial" w:eastAsia="Arial" w:hAnsi="Arial"/>
                  <w:sz w:val="18"/>
                  <w:szCs w:val="18"/>
                  <w:color w:val="0000FF"/>
                  <w:w w:val="97"/>
                </w:rPr>
                <w:t>Kratos Defense &amp; Security Solutions, Inc. and its</w:t>
              </w:r>
            </w:hyperlink>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directors and executive officers.</w:t>
              </w:r>
            </w:hyperlink>
          </w:p>
        </w:tc>
        <w:tc>
          <w:tcPr>
            <w:tcW w:w="18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gridSpan w:val="28"/>
          </w:tcPr>
          <w:p>
            <w:pPr>
              <w:spacing w:after="0"/>
              <w:rPr>
                <w:rFonts w:ascii="Arial" w:cs="Arial" w:eastAsia="Arial" w:hAnsi="Arial"/>
                <w:sz w:val="18"/>
                <w:szCs w:val="18"/>
                <w:color w:val="0000FF"/>
              </w:rPr>
            </w:pPr>
            <w:hyperlink r:id="rId86">
              <w:r>
                <w:rPr>
                  <w:rFonts w:ascii="Arial" w:cs="Arial" w:eastAsia="Arial" w:hAnsi="Arial"/>
                  <w:sz w:val="18"/>
                  <w:szCs w:val="18"/>
                  <w:color w:val="0000FF"/>
                </w:rPr>
                <w:t>Amended and Restated 1999 Employee Stock</w:t>
              </w:r>
            </w:hyperlink>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5"/>
              </w:rPr>
            </w:pPr>
            <w:hyperlink r:id="rId86">
              <w:r>
                <w:rPr>
                  <w:rFonts w:ascii="Arial" w:cs="Arial" w:eastAsia="Arial" w:hAnsi="Arial"/>
                  <w:sz w:val="18"/>
                  <w:szCs w:val="18"/>
                  <w:color w:val="0000FF"/>
                  <w:w w:val="85"/>
                </w:rPr>
                <w:t>Purchase Plan.</w:t>
              </w:r>
            </w:hyperlink>
          </w:p>
        </w:tc>
        <w:tc>
          <w:tcPr>
            <w:tcW w:w="2240" w:type="dxa"/>
            <w:vAlign w:val="bottom"/>
            <w:tcBorders>
              <w:top w:val="single" w:sz="8" w:color="0000FF"/>
            </w:tcBorders>
            <w:gridSpan w:val="6"/>
          </w:tcPr>
          <w:p>
            <w:pPr>
              <w:spacing w:after="0"/>
              <w:rPr>
                <w:sz w:val="13"/>
                <w:szCs w:val="13"/>
                <w:color w:val="auto"/>
              </w:rPr>
            </w:pPr>
          </w:p>
        </w:tc>
        <w:tc>
          <w:tcPr>
            <w:tcW w:w="44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20" w:type="dxa"/>
            <w:vAlign w:val="bottom"/>
            <w:gridSpan w:val="28"/>
          </w:tcPr>
          <w:p>
            <w:pPr>
              <w:spacing w:after="0"/>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2005 Equity Incentive Plan.</w:t>
              </w:r>
            </w:hyperlink>
          </w:p>
        </w:tc>
        <w:tc>
          <w:tcPr>
            <w:tcW w:w="0" w:type="dxa"/>
            <w:vAlign w:val="bottom"/>
          </w:tcPr>
          <w:p>
            <w:pPr>
              <w:spacing w:after="0"/>
              <w:rPr>
                <w:sz w:val="1"/>
                <w:szCs w:val="1"/>
                <w:color w:val="auto"/>
              </w:rPr>
            </w:pPr>
          </w:p>
        </w:tc>
      </w:tr>
      <w:tr>
        <w:trPr>
          <w:trHeight w:val="364"/>
        </w:trPr>
        <w:tc>
          <w:tcPr>
            <w:tcW w:w="130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gridSpan w:val="28"/>
          </w:tcPr>
          <w:p>
            <w:pPr>
              <w:spacing w:after="0"/>
              <w:rPr>
                <w:rFonts w:ascii="Arial" w:cs="Arial" w:eastAsia="Arial" w:hAnsi="Arial"/>
                <w:sz w:val="18"/>
                <w:szCs w:val="18"/>
                <w:color w:val="0000FF"/>
                <w:w w:val="92"/>
              </w:rPr>
            </w:pPr>
            <w:hyperlink r:id="rId88">
              <w:r>
                <w:rPr>
                  <w:rFonts w:ascii="Arial" w:cs="Arial" w:eastAsia="Arial" w:hAnsi="Arial"/>
                  <w:sz w:val="18"/>
                  <w:szCs w:val="18"/>
                  <w:color w:val="0000FF"/>
                  <w:w w:val="92"/>
                </w:rPr>
                <w:t>Form of Stock Option Agreement pursuant to the 2005</w:t>
              </w:r>
            </w:hyperlink>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Equity Incentive Plan.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gridSpan w:val="28"/>
          </w:tcPr>
          <w:p>
            <w:pPr>
              <w:spacing w:after="0"/>
              <w:rPr>
                <w:rFonts w:ascii="Arial" w:cs="Arial" w:eastAsia="Arial" w:hAnsi="Arial"/>
                <w:sz w:val="18"/>
                <w:szCs w:val="18"/>
                <w:color w:val="0000FF"/>
                <w:w w:val="92"/>
              </w:rPr>
            </w:pPr>
            <w:hyperlink r:id="rId89">
              <w:r>
                <w:rPr>
                  <w:rFonts w:ascii="Arial" w:cs="Arial" w:eastAsia="Arial" w:hAnsi="Arial"/>
                  <w:sz w:val="18"/>
                  <w:szCs w:val="18"/>
                  <w:color w:val="0000FF"/>
                  <w:w w:val="92"/>
                </w:rPr>
                <w:t>Form of Restricted Stock Unit Agreement and Form of</w:t>
              </w:r>
            </w:hyperlink>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26"/>
          </w:tcPr>
          <w:p>
            <w:pPr>
              <w:spacing w:after="0" w:line="156" w:lineRule="exact"/>
              <w:rPr>
                <w:rFonts w:ascii="Arial" w:cs="Arial" w:eastAsia="Arial" w:hAnsi="Arial"/>
                <w:sz w:val="18"/>
                <w:szCs w:val="18"/>
                <w:color w:val="0000FF"/>
                <w:w w:val="97"/>
              </w:rPr>
            </w:pPr>
            <w:hyperlink r:id="rId89">
              <w:r>
                <w:rPr>
                  <w:rFonts w:ascii="Arial" w:cs="Arial" w:eastAsia="Arial" w:hAnsi="Arial"/>
                  <w:sz w:val="18"/>
                  <w:szCs w:val="18"/>
                  <w:color w:val="0000FF"/>
                  <w:w w:val="97"/>
                </w:rPr>
                <w:t>Notice of Grant of Restricted Stock Units under the</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2005 Equity Incentive Plan.</w:t>
              </w:r>
            </w:hyperlink>
          </w:p>
        </w:tc>
        <w:tc>
          <w:tcPr>
            <w:tcW w:w="2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0" w:type="dxa"/>
            <w:vAlign w:val="bottom"/>
            <w:tcBorders>
              <w:top w:val="single" w:sz="8" w:color="0000FF"/>
            </w:tcBorders>
            <w:gridSpan w:val="4"/>
          </w:tcPr>
          <w:p>
            <w:pPr>
              <w:spacing w:after="0"/>
              <w:rPr>
                <w:rFonts w:ascii="Arial" w:cs="Arial" w:eastAsia="Arial" w:hAnsi="Arial"/>
                <w:sz w:val="18"/>
                <w:szCs w:val="18"/>
                <w:u w:val="single" w:color="auto"/>
                <w:color w:val="0000FF"/>
                <w:w w:val="90"/>
              </w:rPr>
            </w:pPr>
            <w:hyperlink r:id="rId90">
              <w:r>
                <w:rPr>
                  <w:rFonts w:ascii="Arial" w:cs="Arial" w:eastAsia="Arial" w:hAnsi="Arial"/>
                  <w:sz w:val="18"/>
                  <w:szCs w:val="18"/>
                  <w:u w:val="single" w:color="auto"/>
                  <w:color w:val="0000FF"/>
                  <w:w w:val="90"/>
                </w:rPr>
                <w:t>2011 Equity Incentive Plan.</w:t>
              </w:r>
            </w:hyperlink>
          </w:p>
        </w:tc>
        <w:tc>
          <w:tcPr>
            <w:tcW w:w="2020" w:type="dxa"/>
            <w:vAlign w:val="bottom"/>
            <w:gridSpan w:val="24"/>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1300" w:type="dxa"/>
            <w:vAlign w:val="bottom"/>
          </w:tcPr>
          <w:p>
            <w:pPr>
              <w:ind w:lef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gridSpan w:val="28"/>
          </w:tcPr>
          <w:p>
            <w:pPr>
              <w:spacing w:after="0"/>
              <w:rPr>
                <w:rFonts w:ascii="Arial" w:cs="Arial" w:eastAsia="Arial" w:hAnsi="Arial"/>
                <w:sz w:val="18"/>
                <w:szCs w:val="18"/>
                <w:color w:val="0000FF"/>
                <w:w w:val="94"/>
              </w:rPr>
            </w:pPr>
            <w:hyperlink r:id="rId91">
              <w:r>
                <w:rPr>
                  <w:rFonts w:ascii="Arial" w:cs="Arial" w:eastAsia="Arial" w:hAnsi="Arial"/>
                  <w:sz w:val="18"/>
                  <w:szCs w:val="18"/>
                  <w:color w:val="0000FF"/>
                  <w:w w:val="94"/>
                </w:rPr>
                <w:t>Form of Notice of Grant of Restricted Stock Units and</w:t>
              </w:r>
            </w:hyperlink>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tcBorders>
            <w:gridSpan w:val="24"/>
          </w:tcPr>
          <w:p>
            <w:pPr>
              <w:spacing w:after="0" w:line="156" w:lineRule="exact"/>
              <w:rPr>
                <w:rFonts w:ascii="Arial" w:cs="Arial" w:eastAsia="Arial" w:hAnsi="Arial"/>
                <w:sz w:val="18"/>
                <w:szCs w:val="18"/>
                <w:color w:val="0000FF"/>
                <w:w w:val="95"/>
              </w:rPr>
            </w:pPr>
            <w:hyperlink r:id="rId91">
              <w:r>
                <w:rPr>
                  <w:rFonts w:ascii="Arial" w:cs="Arial" w:eastAsia="Arial" w:hAnsi="Arial"/>
                  <w:sz w:val="18"/>
                  <w:szCs w:val="18"/>
                  <w:color w:val="0000FF"/>
                  <w:w w:val="95"/>
                </w:rPr>
                <w:t>Restricted Stock Unit Award Agreement pursuant to</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91">
              <w:r>
                <w:rPr>
                  <w:rFonts w:ascii="Arial" w:cs="Arial" w:eastAsia="Arial" w:hAnsi="Arial"/>
                  <w:sz w:val="18"/>
                  <w:szCs w:val="18"/>
                  <w:color w:val="0000FF"/>
                </w:rPr>
                <w:t>the 2011 Equity Incentive Plan.</w:t>
              </w:r>
            </w:hyperlink>
          </w:p>
        </w:tc>
        <w:tc>
          <w:tcPr>
            <w:tcW w:w="26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00" w:type="dxa"/>
            <w:vAlign w:val="bottom"/>
            <w:tcBorders>
              <w:top w:val="single" w:sz="8" w:color="0000FF"/>
            </w:tcBorders>
            <w:gridSpan w:val="5"/>
          </w:tcPr>
          <w:p>
            <w:pPr>
              <w:spacing w:after="0"/>
              <w:rPr>
                <w:rFonts w:ascii="Arial" w:cs="Arial" w:eastAsia="Arial" w:hAnsi="Arial"/>
                <w:sz w:val="18"/>
                <w:szCs w:val="18"/>
                <w:u w:val="single" w:color="auto"/>
                <w:color w:val="0000FF"/>
              </w:rPr>
            </w:pPr>
            <w:hyperlink r:id="rId92">
              <w:r>
                <w:rPr>
                  <w:rFonts w:ascii="Arial" w:cs="Arial" w:eastAsia="Arial" w:hAnsi="Arial"/>
                  <w:sz w:val="18"/>
                  <w:szCs w:val="18"/>
                  <w:u w:val="single" w:color="auto"/>
                  <w:color w:val="0000FF"/>
                </w:rPr>
                <w:t>2014 Equity Incentive Plan.</w:t>
              </w:r>
            </w:hyperlink>
          </w:p>
        </w:tc>
        <w:tc>
          <w:tcPr>
            <w:tcW w:w="1720" w:type="dxa"/>
            <w:vAlign w:val="bottom"/>
            <w:gridSpan w:val="23"/>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Incorporated by</w:t>
      </w:r>
    </w:p>
    <w:p>
      <w:pPr>
        <w:ind w:left="20"/>
        <w:spacing w:after="0"/>
        <w:rPr>
          <w:sz w:val="20"/>
          <w:szCs w:val="20"/>
          <w:color w:val="auto"/>
        </w:rPr>
      </w:pPr>
      <w:r>
        <w:rPr>
          <w:rFonts w:ascii="Arial" w:cs="Arial" w:eastAsia="Arial" w:hAnsi="Arial"/>
          <w:sz w:val="14"/>
          <w:szCs w:val="14"/>
          <w:b w:val="1"/>
          <w:bCs w:val="1"/>
          <w:color w:val="auto"/>
        </w:rPr>
        <w:t>Reference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ind w:left="20"/>
              <w:spacing w:after="0" w:line="127"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35"/>
        </w:trPr>
        <w:tc>
          <w:tcPr>
            <w:tcW w:w="1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1"/>
                <w:szCs w:val="11"/>
                <w:color w:val="auto"/>
              </w:rPr>
            </w:pPr>
          </w:p>
        </w:tc>
        <w:tc>
          <w:tcPr>
            <w:tcW w:w="28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Filing Date (File No.)  Exhibit</w:t>
            </w:r>
          </w:p>
        </w:tc>
        <w:tc>
          <w:tcPr>
            <w:tcW w:w="13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8"/>
        </w:trPr>
        <w:tc>
          <w:tcPr>
            <w:tcW w:w="13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80" w:type="dxa"/>
            <w:vAlign w:val="bottom"/>
            <w:gridSpan w:val="4"/>
            <w:vMerge w:val="continue"/>
          </w:tcPr>
          <w:p>
            <w:pPr>
              <w:spacing w:after="0"/>
              <w:rPr>
                <w:sz w:val="16"/>
                <w:szCs w:val="16"/>
                <w:color w:val="auto"/>
              </w:rPr>
            </w:pPr>
          </w:p>
        </w:tc>
        <w:tc>
          <w:tcPr>
            <w:tcW w:w="1360" w:type="dxa"/>
            <w:vAlign w:val="bottom"/>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980" w:type="dxa"/>
            <w:vAlign w:val="bottom"/>
            <w:vMerge w:val="restart"/>
          </w:tcPr>
          <w:p>
            <w:pPr>
              <w:jc w:val="center"/>
              <w:ind w:right="210"/>
              <w:spacing w:after="0"/>
              <w:rPr>
                <w:sz w:val="20"/>
                <w:szCs w:val="20"/>
                <w:color w:val="auto"/>
              </w:rPr>
            </w:pPr>
            <w:r>
              <w:rPr>
                <w:rFonts w:ascii="Arial" w:cs="Arial" w:eastAsia="Arial" w:hAnsi="Arial"/>
                <w:sz w:val="18"/>
                <w:szCs w:val="18"/>
                <w:color w:val="auto"/>
                <w:w w:val="89"/>
              </w:rPr>
              <w:t>10-Q</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5/10/2018</w:t>
            </w:r>
          </w:p>
        </w:tc>
        <w:tc>
          <w:tcPr>
            <w:tcW w:w="720" w:type="dxa"/>
            <w:vAlign w:val="bottom"/>
            <w:vMerge w:val="restart"/>
          </w:tcPr>
          <w:p>
            <w:pPr>
              <w:jc w:val="center"/>
              <w:ind w:left="290"/>
              <w:spacing w:after="0"/>
              <w:rPr>
                <w:sz w:val="20"/>
                <w:szCs w:val="20"/>
                <w:color w:val="auto"/>
              </w:rPr>
            </w:pPr>
            <w:r>
              <w:rPr>
                <w:rFonts w:ascii="Arial" w:cs="Arial" w:eastAsia="Arial" w:hAnsi="Arial"/>
                <w:sz w:val="18"/>
                <w:szCs w:val="18"/>
                <w:color w:val="auto"/>
                <w:w w:val="87"/>
              </w:rPr>
              <w:t>2.2</w:t>
            </w: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20"/>
                <w:szCs w:val="20"/>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color w:val="auto"/>
                <w:w w:val="91"/>
              </w:rPr>
              <w:t>(001-34460)</w:t>
            </w: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77"/>
        </w:trPr>
        <w:tc>
          <w:tcPr>
            <w:tcW w:w="980" w:type="dxa"/>
            <w:vAlign w:val="bottom"/>
            <w:vMerge w:val="restart"/>
          </w:tcPr>
          <w:p>
            <w:pPr>
              <w:jc w:val="center"/>
              <w:ind w:right="210"/>
              <w:spacing w:after="0"/>
              <w:rPr>
                <w:sz w:val="20"/>
                <w:szCs w:val="20"/>
                <w:color w:val="auto"/>
              </w:rPr>
            </w:pPr>
            <w:r>
              <w:rPr>
                <w:rFonts w:ascii="Arial" w:cs="Arial" w:eastAsia="Arial" w:hAnsi="Arial"/>
                <w:sz w:val="18"/>
                <w:szCs w:val="18"/>
                <w:color w:val="auto"/>
                <w:w w:val="89"/>
              </w:rPr>
              <w:t>10-Q</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5/08/2019</w:t>
            </w:r>
          </w:p>
        </w:tc>
        <w:tc>
          <w:tcPr>
            <w:tcW w:w="720" w:type="dxa"/>
            <w:vAlign w:val="bottom"/>
            <w:vMerge w:val="restart"/>
          </w:tcPr>
          <w:p>
            <w:pPr>
              <w:jc w:val="center"/>
              <w:ind w:left="290"/>
              <w:spacing w:after="0"/>
              <w:rPr>
                <w:sz w:val="20"/>
                <w:szCs w:val="20"/>
                <w:color w:val="auto"/>
              </w:rPr>
            </w:pPr>
            <w:r>
              <w:rPr>
                <w:rFonts w:ascii="Arial" w:cs="Arial" w:eastAsia="Arial" w:hAnsi="Arial"/>
                <w:sz w:val="18"/>
                <w:szCs w:val="18"/>
                <w:color w:val="auto"/>
                <w:w w:val="87"/>
              </w:rPr>
              <w:t>2.3</w:t>
            </w: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20"/>
                <w:szCs w:val="20"/>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color w:val="auto"/>
                <w:w w:val="91"/>
              </w:rPr>
              <w:t>(001-34460)</w:t>
            </w: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980" w:type="dxa"/>
            <w:vAlign w:val="bottom"/>
            <w:vMerge w:val="restart"/>
          </w:tcPr>
          <w:p>
            <w:pPr>
              <w:jc w:val="center"/>
              <w:ind w:right="210"/>
              <w:spacing w:after="0"/>
              <w:rPr>
                <w:sz w:val="20"/>
                <w:szCs w:val="20"/>
                <w:color w:val="auto"/>
              </w:rPr>
            </w:pPr>
            <w:r>
              <w:rPr>
                <w:rFonts w:ascii="Arial" w:cs="Arial" w:eastAsia="Arial" w:hAnsi="Arial"/>
                <w:sz w:val="18"/>
                <w:szCs w:val="18"/>
                <w:color w:val="auto"/>
                <w:w w:val="94"/>
              </w:rPr>
              <w:t>10-K</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2/27/2017</w:t>
            </w:r>
          </w:p>
        </w:tc>
        <w:tc>
          <w:tcPr>
            <w:tcW w:w="720" w:type="dxa"/>
            <w:vAlign w:val="bottom"/>
            <w:vMerge w:val="restart"/>
          </w:tcPr>
          <w:p>
            <w:pPr>
              <w:jc w:val="center"/>
              <w:ind w:left="290"/>
              <w:spacing w:after="0"/>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229"/>
        </w:trPr>
        <w:tc>
          <w:tcPr>
            <w:tcW w:w="980" w:type="dxa"/>
            <w:vAlign w:val="bottom"/>
            <w:vMerge w:val="continue"/>
          </w:tcPr>
          <w:p>
            <w:pPr>
              <w:spacing w:after="0"/>
              <w:rPr>
                <w:sz w:val="19"/>
                <w:szCs w:val="19"/>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color w:val="auto"/>
                <w:w w:val="91"/>
              </w:rPr>
              <w:t>(001-34460)</w:t>
            </w: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80" w:type="dxa"/>
            <w:vAlign w:val="bottom"/>
            <w:vMerge w:val="restart"/>
          </w:tcPr>
          <w:p>
            <w:pPr>
              <w:jc w:val="center"/>
              <w:ind w:right="210"/>
              <w:spacing w:after="0"/>
              <w:rPr>
                <w:sz w:val="20"/>
                <w:szCs w:val="20"/>
                <w:color w:val="auto"/>
              </w:rPr>
            </w:pPr>
            <w:r>
              <w:rPr>
                <w:rFonts w:ascii="Arial" w:cs="Arial" w:eastAsia="Arial" w:hAnsi="Arial"/>
                <w:sz w:val="18"/>
                <w:szCs w:val="18"/>
                <w:color w:val="auto"/>
                <w:w w:val="94"/>
              </w:rPr>
              <w:t>10-K</w:t>
            </w: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89"/>
              </w:rPr>
              <w:t>2/27/2017</w:t>
            </w:r>
          </w:p>
        </w:tc>
        <w:tc>
          <w:tcPr>
            <w:tcW w:w="720" w:type="dxa"/>
            <w:vAlign w:val="bottom"/>
            <w:vMerge w:val="restart"/>
          </w:tcPr>
          <w:p>
            <w:pPr>
              <w:jc w:val="center"/>
              <w:ind w:left="290"/>
              <w:spacing w:after="0"/>
              <w:rPr>
                <w:sz w:val="20"/>
                <w:szCs w:val="20"/>
                <w:color w:val="auto"/>
              </w:rPr>
            </w:pPr>
            <w:r>
              <w:rPr>
                <w:rFonts w:ascii="Arial" w:cs="Arial" w:eastAsia="Arial" w:hAnsi="Arial"/>
                <w:sz w:val="18"/>
                <w:szCs w:val="18"/>
                <w:color w:val="auto"/>
                <w:w w:val="87"/>
              </w:rPr>
              <w:t>3.2</w:t>
            </w:r>
          </w:p>
        </w:tc>
        <w:tc>
          <w:tcPr>
            <w:tcW w:w="0" w:type="dxa"/>
            <w:vAlign w:val="bottom"/>
          </w:tcPr>
          <w:p>
            <w:pPr>
              <w:spacing w:after="0"/>
              <w:rPr>
                <w:sz w:val="1"/>
                <w:szCs w:val="1"/>
                <w:color w:val="auto"/>
              </w:rPr>
            </w:pPr>
          </w:p>
        </w:tc>
      </w:tr>
      <w:tr>
        <w:trPr>
          <w:trHeight w:val="229"/>
        </w:trPr>
        <w:tc>
          <w:tcPr>
            <w:tcW w:w="980" w:type="dxa"/>
            <w:vAlign w:val="bottom"/>
            <w:vMerge w:val="continue"/>
          </w:tcPr>
          <w:p>
            <w:pPr>
              <w:spacing w:after="0"/>
              <w:rPr>
                <w:sz w:val="19"/>
                <w:szCs w:val="19"/>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color w:val="auto"/>
                <w:w w:val="91"/>
              </w:rPr>
              <w:t>(001-34460)</w:t>
            </w: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80" w:type="dxa"/>
            <w:vAlign w:val="bottom"/>
            <w:vMerge w:val="restart"/>
          </w:tcPr>
          <w:p>
            <w:pPr>
              <w:jc w:val="center"/>
              <w:ind w:right="210"/>
              <w:spacing w:after="0"/>
              <w:rPr>
                <w:sz w:val="20"/>
                <w:szCs w:val="20"/>
                <w:color w:val="auto"/>
              </w:rPr>
            </w:pPr>
            <w:r>
              <w:rPr>
                <w:rFonts w:ascii="Arial" w:cs="Arial" w:eastAsia="Arial" w:hAnsi="Arial"/>
                <w:sz w:val="18"/>
                <w:szCs w:val="18"/>
                <w:color w:val="auto"/>
                <w:w w:val="94"/>
              </w:rPr>
              <w:t>10-K</w:t>
            </w: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89"/>
              </w:rPr>
              <w:t>2/27/2017</w:t>
            </w:r>
          </w:p>
        </w:tc>
        <w:tc>
          <w:tcPr>
            <w:tcW w:w="720" w:type="dxa"/>
            <w:vAlign w:val="bottom"/>
            <w:vMerge w:val="restart"/>
          </w:tcPr>
          <w:p>
            <w:pPr>
              <w:jc w:val="center"/>
              <w:ind w:left="290"/>
              <w:spacing w:after="0"/>
              <w:rPr>
                <w:sz w:val="20"/>
                <w:szCs w:val="20"/>
                <w:color w:val="auto"/>
              </w:rPr>
            </w:pPr>
            <w:r>
              <w:rPr>
                <w:rFonts w:ascii="Arial" w:cs="Arial" w:eastAsia="Arial" w:hAnsi="Arial"/>
                <w:sz w:val="18"/>
                <w:szCs w:val="18"/>
                <w:color w:val="auto"/>
                <w:w w:val="87"/>
              </w:rPr>
              <w:t>4.1</w:t>
            </w: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20"/>
                <w:szCs w:val="20"/>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color w:val="auto"/>
                <w:w w:val="91"/>
              </w:rPr>
              <w:t>(001-34460)</w:t>
            </w: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980" w:type="dxa"/>
            <w:vAlign w:val="bottom"/>
            <w:vMerge w:val="restart"/>
          </w:tcPr>
          <w:p>
            <w:pPr>
              <w:jc w:val="center"/>
              <w:ind w:right="210"/>
              <w:spacing w:after="0"/>
              <w:rPr>
                <w:sz w:val="20"/>
                <w:szCs w:val="20"/>
                <w:color w:val="auto"/>
              </w:rPr>
            </w:pPr>
            <w:r>
              <w:rPr>
                <w:rFonts w:ascii="Arial" w:cs="Arial" w:eastAsia="Arial" w:hAnsi="Arial"/>
                <w:sz w:val="18"/>
                <w:szCs w:val="18"/>
                <w:color w:val="auto"/>
                <w:w w:val="99"/>
              </w:rPr>
              <w:t>8-K</w:t>
            </w:r>
          </w:p>
        </w:tc>
        <w:tc>
          <w:tcPr>
            <w:tcW w:w="1680" w:type="dxa"/>
            <w:vAlign w:val="bottom"/>
          </w:tcPr>
          <w:p>
            <w:pPr>
              <w:jc w:val="center"/>
              <w:ind w:right="10"/>
              <w:spacing w:after="0"/>
              <w:rPr>
                <w:sz w:val="20"/>
                <w:szCs w:val="20"/>
                <w:color w:val="auto"/>
              </w:rPr>
            </w:pPr>
            <w:r>
              <w:rPr>
                <w:rFonts w:ascii="Arial" w:cs="Arial" w:eastAsia="Arial" w:hAnsi="Arial"/>
                <w:sz w:val="18"/>
                <w:szCs w:val="18"/>
                <w:color w:val="auto"/>
                <w:w w:val="90"/>
              </w:rPr>
              <w:t>11/21/2017</w:t>
            </w:r>
          </w:p>
        </w:tc>
        <w:tc>
          <w:tcPr>
            <w:tcW w:w="720" w:type="dxa"/>
            <w:vAlign w:val="bottom"/>
            <w:vMerge w:val="restart"/>
          </w:tcPr>
          <w:p>
            <w:pPr>
              <w:jc w:val="center"/>
              <w:ind w:left="290"/>
              <w:spacing w:after="0"/>
              <w:rPr>
                <w:sz w:val="20"/>
                <w:szCs w:val="20"/>
                <w:color w:val="auto"/>
              </w:rPr>
            </w:pPr>
            <w:r>
              <w:rPr>
                <w:rFonts w:ascii="Arial" w:cs="Arial" w:eastAsia="Arial" w:hAnsi="Arial"/>
                <w:sz w:val="18"/>
                <w:szCs w:val="18"/>
                <w:color w:val="auto"/>
                <w:w w:val="87"/>
              </w:rPr>
              <w:t>4.1</w:t>
            </w: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20"/>
                <w:szCs w:val="20"/>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color w:val="auto"/>
                <w:w w:val="91"/>
              </w:rPr>
              <w:t>(001-34460)</w:t>
            </w: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980" w:type="dxa"/>
            <w:vAlign w:val="bottom"/>
            <w:vMerge w:val="restart"/>
          </w:tcPr>
          <w:p>
            <w:pPr>
              <w:jc w:val="center"/>
              <w:ind w:right="210"/>
              <w:spacing w:after="0"/>
              <w:rPr>
                <w:sz w:val="20"/>
                <w:szCs w:val="20"/>
                <w:color w:val="auto"/>
              </w:rPr>
            </w:pPr>
            <w:r>
              <w:rPr>
                <w:rFonts w:ascii="Arial" w:cs="Arial" w:eastAsia="Arial" w:hAnsi="Arial"/>
                <w:sz w:val="18"/>
                <w:szCs w:val="18"/>
                <w:color w:val="auto"/>
                <w:w w:val="94"/>
              </w:rPr>
              <w:t>10-K</w:t>
            </w:r>
          </w:p>
        </w:tc>
        <w:tc>
          <w:tcPr>
            <w:tcW w:w="1680" w:type="dxa"/>
            <w:vAlign w:val="bottom"/>
          </w:tcPr>
          <w:p>
            <w:pPr>
              <w:jc w:val="center"/>
              <w:ind w:right="10"/>
              <w:spacing w:after="0"/>
              <w:rPr>
                <w:sz w:val="20"/>
                <w:szCs w:val="20"/>
                <w:color w:val="auto"/>
              </w:rPr>
            </w:pPr>
            <w:r>
              <w:rPr>
                <w:rFonts w:ascii="Arial" w:cs="Arial" w:eastAsia="Arial" w:hAnsi="Arial"/>
                <w:sz w:val="18"/>
                <w:szCs w:val="18"/>
                <w:color w:val="auto"/>
                <w:w w:val="90"/>
              </w:rPr>
              <w:t>02/28/2018</w:t>
            </w:r>
          </w:p>
        </w:tc>
        <w:tc>
          <w:tcPr>
            <w:tcW w:w="720" w:type="dxa"/>
            <w:vAlign w:val="bottom"/>
            <w:vMerge w:val="restart"/>
          </w:tcPr>
          <w:p>
            <w:pPr>
              <w:jc w:val="center"/>
              <w:ind w:left="290"/>
              <w:spacing w:after="0"/>
              <w:rPr>
                <w:sz w:val="20"/>
                <w:szCs w:val="20"/>
                <w:color w:val="auto"/>
              </w:rPr>
            </w:pPr>
            <w:r>
              <w:rPr>
                <w:rFonts w:ascii="Arial" w:cs="Arial" w:eastAsia="Arial" w:hAnsi="Arial"/>
                <w:sz w:val="18"/>
                <w:szCs w:val="18"/>
                <w:color w:val="auto"/>
                <w:w w:val="87"/>
              </w:rPr>
              <w:t>4.5</w:t>
            </w:r>
          </w:p>
        </w:tc>
        <w:tc>
          <w:tcPr>
            <w:tcW w:w="0" w:type="dxa"/>
            <w:vAlign w:val="bottom"/>
          </w:tcPr>
          <w:p>
            <w:pPr>
              <w:spacing w:after="0"/>
              <w:rPr>
                <w:sz w:val="1"/>
                <w:szCs w:val="1"/>
                <w:color w:val="auto"/>
              </w:rPr>
            </w:pPr>
          </w:p>
        </w:tc>
      </w:tr>
      <w:tr>
        <w:trPr>
          <w:trHeight w:val="229"/>
        </w:trPr>
        <w:tc>
          <w:tcPr>
            <w:tcW w:w="980" w:type="dxa"/>
            <w:vAlign w:val="bottom"/>
            <w:vMerge w:val="continue"/>
          </w:tcPr>
          <w:p>
            <w:pPr>
              <w:spacing w:after="0"/>
              <w:rPr>
                <w:sz w:val="19"/>
                <w:szCs w:val="19"/>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color w:val="auto"/>
                <w:w w:val="91"/>
              </w:rPr>
              <w:t>(001-34460)</w:t>
            </w: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80" w:type="dxa"/>
            <w:vAlign w:val="bottom"/>
            <w:vMerge w:val="restart"/>
          </w:tcPr>
          <w:p>
            <w:pPr>
              <w:jc w:val="center"/>
              <w:ind w:right="210"/>
              <w:spacing w:after="0"/>
              <w:rPr>
                <w:sz w:val="20"/>
                <w:szCs w:val="20"/>
                <w:color w:val="auto"/>
              </w:rPr>
            </w:pPr>
            <w:r>
              <w:rPr>
                <w:rFonts w:ascii="Arial" w:cs="Arial" w:eastAsia="Arial" w:hAnsi="Arial"/>
                <w:sz w:val="18"/>
                <w:szCs w:val="18"/>
                <w:color w:val="auto"/>
                <w:w w:val="94"/>
              </w:rPr>
              <w:t>10-K</w:t>
            </w:r>
          </w:p>
        </w:tc>
        <w:tc>
          <w:tcPr>
            <w:tcW w:w="168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0"/>
              </w:rPr>
              <w:t>02/24/2020</w:t>
            </w:r>
          </w:p>
        </w:tc>
        <w:tc>
          <w:tcPr>
            <w:tcW w:w="720" w:type="dxa"/>
            <w:vAlign w:val="bottom"/>
            <w:vMerge w:val="restart"/>
          </w:tcPr>
          <w:p>
            <w:pPr>
              <w:jc w:val="center"/>
              <w:ind w:left="290"/>
              <w:spacing w:after="0"/>
              <w:rPr>
                <w:sz w:val="20"/>
                <w:szCs w:val="20"/>
                <w:color w:val="auto"/>
              </w:rPr>
            </w:pPr>
            <w:r>
              <w:rPr>
                <w:rFonts w:ascii="Arial" w:cs="Arial" w:eastAsia="Arial" w:hAnsi="Arial"/>
                <w:sz w:val="18"/>
                <w:szCs w:val="18"/>
                <w:color w:val="auto"/>
                <w:w w:val="87"/>
              </w:rPr>
              <w:t>4.4</w:t>
            </w: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20"/>
                <w:szCs w:val="20"/>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color w:val="auto"/>
                <w:w w:val="91"/>
              </w:rPr>
              <w:t>(001-34460)</w:t>
            </w: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980" w:type="dxa"/>
            <w:vAlign w:val="bottom"/>
            <w:vMerge w:val="restart"/>
          </w:tcPr>
          <w:p>
            <w:pPr>
              <w:jc w:val="center"/>
              <w:ind w:right="210"/>
              <w:spacing w:after="0"/>
              <w:rPr>
                <w:sz w:val="20"/>
                <w:szCs w:val="20"/>
                <w:color w:val="auto"/>
              </w:rPr>
            </w:pPr>
            <w:r>
              <w:rPr>
                <w:rFonts w:ascii="Arial" w:cs="Arial" w:eastAsia="Arial" w:hAnsi="Arial"/>
                <w:sz w:val="18"/>
                <w:szCs w:val="18"/>
                <w:color w:val="auto"/>
                <w:w w:val="89"/>
              </w:rPr>
              <w:t>10-Q</w:t>
            </w:r>
          </w:p>
        </w:tc>
        <w:tc>
          <w:tcPr>
            <w:tcW w:w="1680" w:type="dxa"/>
            <w:vAlign w:val="bottom"/>
          </w:tcPr>
          <w:p>
            <w:pPr>
              <w:jc w:val="center"/>
              <w:ind w:right="10"/>
              <w:spacing w:after="0"/>
              <w:rPr>
                <w:sz w:val="20"/>
                <w:szCs w:val="20"/>
                <w:color w:val="auto"/>
              </w:rPr>
            </w:pPr>
            <w:r>
              <w:rPr>
                <w:rFonts w:ascii="Arial" w:cs="Arial" w:eastAsia="Arial" w:hAnsi="Arial"/>
                <w:sz w:val="18"/>
                <w:szCs w:val="18"/>
                <w:color w:val="auto"/>
                <w:w w:val="90"/>
              </w:rPr>
              <w:t>08/04/2011</w:t>
            </w:r>
          </w:p>
        </w:tc>
        <w:tc>
          <w:tcPr>
            <w:tcW w:w="720" w:type="dxa"/>
            <w:vAlign w:val="bottom"/>
            <w:vMerge w:val="restart"/>
          </w:tcPr>
          <w:p>
            <w:pPr>
              <w:jc w:val="center"/>
              <w:ind w:left="310"/>
              <w:spacing w:after="0"/>
              <w:rPr>
                <w:sz w:val="20"/>
                <w:szCs w:val="20"/>
                <w:color w:val="auto"/>
              </w:rPr>
            </w:pPr>
            <w:r>
              <w:rPr>
                <w:rFonts w:ascii="Arial" w:cs="Arial" w:eastAsia="Arial" w:hAnsi="Arial"/>
                <w:sz w:val="18"/>
                <w:szCs w:val="18"/>
                <w:color w:val="auto"/>
                <w:w w:val="91"/>
              </w:rPr>
              <w:t>10.8</w:t>
            </w:r>
          </w:p>
        </w:tc>
        <w:tc>
          <w:tcPr>
            <w:tcW w:w="0" w:type="dxa"/>
            <w:vAlign w:val="bottom"/>
          </w:tcPr>
          <w:p>
            <w:pPr>
              <w:spacing w:after="0"/>
              <w:rPr>
                <w:sz w:val="1"/>
                <w:szCs w:val="1"/>
                <w:color w:val="auto"/>
              </w:rPr>
            </w:pPr>
          </w:p>
        </w:tc>
      </w:tr>
      <w:tr>
        <w:trPr>
          <w:trHeight w:val="229"/>
        </w:trPr>
        <w:tc>
          <w:tcPr>
            <w:tcW w:w="980" w:type="dxa"/>
            <w:vAlign w:val="bottom"/>
            <w:vMerge w:val="continue"/>
          </w:tcPr>
          <w:p>
            <w:pPr>
              <w:spacing w:after="0"/>
              <w:rPr>
                <w:sz w:val="19"/>
                <w:szCs w:val="19"/>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color w:val="auto"/>
                <w:w w:val="91"/>
              </w:rPr>
              <w:t>(001-34460)</w:t>
            </w: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80" w:type="dxa"/>
            <w:vAlign w:val="bottom"/>
            <w:vMerge w:val="restart"/>
          </w:tcPr>
          <w:p>
            <w:pPr>
              <w:jc w:val="center"/>
              <w:ind w:right="210"/>
              <w:spacing w:after="0"/>
              <w:rPr>
                <w:sz w:val="20"/>
                <w:szCs w:val="20"/>
                <w:color w:val="auto"/>
              </w:rPr>
            </w:pPr>
            <w:r>
              <w:rPr>
                <w:rFonts w:ascii="Arial" w:cs="Arial" w:eastAsia="Arial" w:hAnsi="Arial"/>
                <w:sz w:val="18"/>
                <w:szCs w:val="18"/>
                <w:color w:val="auto"/>
                <w:w w:val="85"/>
              </w:rPr>
              <w:t>S-8</w:t>
            </w:r>
          </w:p>
        </w:tc>
        <w:tc>
          <w:tcPr>
            <w:tcW w:w="168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0"/>
              </w:rPr>
              <w:t>07/31/2017</w:t>
            </w:r>
          </w:p>
        </w:tc>
        <w:tc>
          <w:tcPr>
            <w:tcW w:w="720" w:type="dxa"/>
            <w:vAlign w:val="bottom"/>
            <w:vMerge w:val="restart"/>
          </w:tcPr>
          <w:p>
            <w:pPr>
              <w:jc w:val="center"/>
              <w:ind w:left="310"/>
              <w:spacing w:after="0"/>
              <w:rPr>
                <w:sz w:val="20"/>
                <w:szCs w:val="20"/>
                <w:color w:val="auto"/>
              </w:rPr>
            </w:pPr>
            <w:r>
              <w:rPr>
                <w:rFonts w:ascii="Arial" w:cs="Arial" w:eastAsia="Arial" w:hAnsi="Arial"/>
                <w:sz w:val="18"/>
                <w:szCs w:val="18"/>
                <w:color w:val="auto"/>
                <w:w w:val="91"/>
              </w:rPr>
              <w:t>99.1</w:t>
            </w:r>
          </w:p>
        </w:tc>
        <w:tc>
          <w:tcPr>
            <w:tcW w:w="0" w:type="dxa"/>
            <w:vAlign w:val="bottom"/>
          </w:tcPr>
          <w:p>
            <w:pPr>
              <w:spacing w:after="0"/>
              <w:rPr>
                <w:sz w:val="1"/>
                <w:szCs w:val="1"/>
                <w:color w:val="auto"/>
              </w:rPr>
            </w:pPr>
          </w:p>
        </w:tc>
      </w:tr>
      <w:tr>
        <w:trPr>
          <w:trHeight w:val="229"/>
        </w:trPr>
        <w:tc>
          <w:tcPr>
            <w:tcW w:w="980" w:type="dxa"/>
            <w:vAlign w:val="bottom"/>
            <w:vMerge w:val="continue"/>
          </w:tcPr>
          <w:p>
            <w:pPr>
              <w:spacing w:after="0"/>
              <w:rPr>
                <w:sz w:val="19"/>
                <w:szCs w:val="19"/>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color w:val="auto"/>
                <w:w w:val="91"/>
              </w:rPr>
              <w:t>(001-34460)</w:t>
            </w: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80" w:type="dxa"/>
            <w:vAlign w:val="bottom"/>
            <w:vMerge w:val="restart"/>
          </w:tcPr>
          <w:p>
            <w:pPr>
              <w:jc w:val="center"/>
              <w:ind w:right="210"/>
              <w:spacing w:after="0"/>
              <w:rPr>
                <w:sz w:val="20"/>
                <w:szCs w:val="20"/>
                <w:color w:val="auto"/>
              </w:rPr>
            </w:pPr>
            <w:r>
              <w:rPr>
                <w:rFonts w:ascii="Arial" w:cs="Arial" w:eastAsia="Arial" w:hAnsi="Arial"/>
                <w:sz w:val="18"/>
                <w:szCs w:val="18"/>
                <w:color w:val="auto"/>
                <w:w w:val="85"/>
              </w:rPr>
              <w:t>S-8</w:t>
            </w:r>
          </w:p>
        </w:tc>
        <w:tc>
          <w:tcPr>
            <w:tcW w:w="168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0"/>
              </w:rPr>
              <w:t>08/01/2005</w:t>
            </w:r>
          </w:p>
        </w:tc>
        <w:tc>
          <w:tcPr>
            <w:tcW w:w="720" w:type="dxa"/>
            <w:vAlign w:val="bottom"/>
            <w:vMerge w:val="restart"/>
          </w:tcPr>
          <w:p>
            <w:pPr>
              <w:jc w:val="center"/>
              <w:ind w:left="310"/>
              <w:spacing w:after="0"/>
              <w:rPr>
                <w:sz w:val="20"/>
                <w:szCs w:val="20"/>
                <w:color w:val="auto"/>
              </w:rPr>
            </w:pPr>
            <w:r>
              <w:rPr>
                <w:rFonts w:ascii="Arial" w:cs="Arial" w:eastAsia="Arial" w:hAnsi="Arial"/>
                <w:sz w:val="18"/>
                <w:szCs w:val="18"/>
                <w:color w:val="auto"/>
                <w:w w:val="91"/>
              </w:rPr>
              <w:t>99.2</w:t>
            </w:r>
          </w:p>
        </w:tc>
        <w:tc>
          <w:tcPr>
            <w:tcW w:w="0" w:type="dxa"/>
            <w:vAlign w:val="bottom"/>
          </w:tcPr>
          <w:p>
            <w:pPr>
              <w:spacing w:after="0"/>
              <w:rPr>
                <w:sz w:val="1"/>
                <w:szCs w:val="1"/>
                <w:color w:val="auto"/>
              </w:rPr>
            </w:pPr>
          </w:p>
        </w:tc>
      </w:tr>
      <w:tr>
        <w:trPr>
          <w:trHeight w:val="229"/>
        </w:trPr>
        <w:tc>
          <w:tcPr>
            <w:tcW w:w="980" w:type="dxa"/>
            <w:vAlign w:val="bottom"/>
            <w:vMerge w:val="continue"/>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(333-127060)</w:t>
            </w: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80" w:type="dxa"/>
            <w:vAlign w:val="bottom"/>
            <w:vMerge w:val="restart"/>
          </w:tcPr>
          <w:p>
            <w:pPr>
              <w:jc w:val="center"/>
              <w:ind w:right="210"/>
              <w:spacing w:after="0"/>
              <w:rPr>
                <w:sz w:val="20"/>
                <w:szCs w:val="20"/>
                <w:color w:val="auto"/>
              </w:rPr>
            </w:pPr>
            <w:r>
              <w:rPr>
                <w:rFonts w:ascii="Arial" w:cs="Arial" w:eastAsia="Arial" w:hAnsi="Arial"/>
                <w:sz w:val="18"/>
                <w:szCs w:val="18"/>
                <w:color w:val="auto"/>
                <w:w w:val="85"/>
              </w:rPr>
              <w:t>S-8</w:t>
            </w:r>
          </w:p>
        </w:tc>
        <w:tc>
          <w:tcPr>
            <w:tcW w:w="168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0"/>
              </w:rPr>
              <w:t>08/01/2005</w:t>
            </w:r>
          </w:p>
        </w:tc>
        <w:tc>
          <w:tcPr>
            <w:tcW w:w="720" w:type="dxa"/>
            <w:vAlign w:val="bottom"/>
            <w:vMerge w:val="restart"/>
          </w:tcPr>
          <w:p>
            <w:pPr>
              <w:jc w:val="center"/>
              <w:ind w:left="310"/>
              <w:spacing w:after="0"/>
              <w:rPr>
                <w:sz w:val="20"/>
                <w:szCs w:val="20"/>
                <w:color w:val="auto"/>
              </w:rPr>
            </w:pPr>
            <w:r>
              <w:rPr>
                <w:rFonts w:ascii="Arial" w:cs="Arial" w:eastAsia="Arial" w:hAnsi="Arial"/>
                <w:sz w:val="18"/>
                <w:szCs w:val="18"/>
                <w:color w:val="auto"/>
                <w:w w:val="91"/>
              </w:rPr>
              <w:t>99.1</w:t>
            </w: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(333-127060)</w:t>
            </w: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980" w:type="dxa"/>
            <w:vAlign w:val="bottom"/>
            <w:vMerge w:val="restart"/>
          </w:tcPr>
          <w:p>
            <w:pPr>
              <w:jc w:val="center"/>
              <w:ind w:right="210"/>
              <w:spacing w:after="0"/>
              <w:rPr>
                <w:sz w:val="20"/>
                <w:szCs w:val="20"/>
                <w:color w:val="auto"/>
              </w:rPr>
            </w:pPr>
            <w:r>
              <w:rPr>
                <w:rFonts w:ascii="Arial" w:cs="Arial" w:eastAsia="Arial" w:hAnsi="Arial"/>
                <w:sz w:val="18"/>
                <w:szCs w:val="18"/>
                <w:color w:val="auto"/>
                <w:w w:val="99"/>
              </w:rPr>
              <w:t>8-K</w:t>
            </w:r>
          </w:p>
        </w:tc>
        <w:tc>
          <w:tcPr>
            <w:tcW w:w="1680" w:type="dxa"/>
            <w:vAlign w:val="bottom"/>
          </w:tcPr>
          <w:p>
            <w:pPr>
              <w:jc w:val="center"/>
              <w:ind w:right="10"/>
              <w:spacing w:after="0"/>
              <w:rPr>
                <w:sz w:val="20"/>
                <w:szCs w:val="20"/>
                <w:color w:val="auto"/>
              </w:rPr>
            </w:pPr>
            <w:r>
              <w:rPr>
                <w:rFonts w:ascii="Arial" w:cs="Arial" w:eastAsia="Arial" w:hAnsi="Arial"/>
                <w:sz w:val="18"/>
                <w:szCs w:val="18"/>
                <w:color w:val="auto"/>
                <w:w w:val="90"/>
              </w:rPr>
              <w:t>01/17/2007</w:t>
            </w:r>
          </w:p>
        </w:tc>
        <w:tc>
          <w:tcPr>
            <w:tcW w:w="720" w:type="dxa"/>
            <w:vAlign w:val="bottom"/>
            <w:vMerge w:val="restart"/>
          </w:tcPr>
          <w:p>
            <w:pPr>
              <w:jc w:val="center"/>
              <w:ind w:left="310"/>
              <w:spacing w:after="0"/>
              <w:rPr>
                <w:sz w:val="20"/>
                <w:szCs w:val="20"/>
                <w:color w:val="auto"/>
              </w:rPr>
            </w:pPr>
            <w:r>
              <w:rPr>
                <w:rFonts w:ascii="Arial" w:cs="Arial" w:eastAsia="Arial" w:hAnsi="Arial"/>
                <w:sz w:val="18"/>
                <w:szCs w:val="18"/>
                <w:color w:val="auto"/>
                <w:w w:val="91"/>
              </w:rPr>
              <w:t>99.3</w:t>
            </w:r>
          </w:p>
        </w:tc>
        <w:tc>
          <w:tcPr>
            <w:tcW w:w="0" w:type="dxa"/>
            <w:vAlign w:val="bottom"/>
          </w:tcPr>
          <w:p>
            <w:pPr>
              <w:spacing w:after="0"/>
              <w:rPr>
                <w:sz w:val="1"/>
                <w:szCs w:val="1"/>
                <w:color w:val="auto"/>
              </w:rPr>
            </w:pPr>
          </w:p>
        </w:tc>
      </w:tr>
      <w:tr>
        <w:trPr>
          <w:trHeight w:val="229"/>
        </w:trPr>
        <w:tc>
          <w:tcPr>
            <w:tcW w:w="980" w:type="dxa"/>
            <w:vAlign w:val="bottom"/>
            <w:vMerge w:val="continue"/>
          </w:tcPr>
          <w:p>
            <w:pPr>
              <w:spacing w:after="0"/>
              <w:rPr>
                <w:sz w:val="19"/>
                <w:szCs w:val="19"/>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color w:val="auto"/>
                <w:w w:val="91"/>
              </w:rPr>
              <w:t>(000-27231)</w:t>
            </w: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80" w:type="dxa"/>
            <w:vAlign w:val="bottom"/>
            <w:vMerge w:val="restart"/>
          </w:tcPr>
          <w:p>
            <w:pPr>
              <w:jc w:val="center"/>
              <w:ind w:right="210"/>
              <w:spacing w:after="0"/>
              <w:rPr>
                <w:sz w:val="20"/>
                <w:szCs w:val="20"/>
                <w:color w:val="auto"/>
              </w:rPr>
            </w:pPr>
            <w:r>
              <w:rPr>
                <w:rFonts w:ascii="Arial" w:cs="Arial" w:eastAsia="Arial" w:hAnsi="Arial"/>
                <w:sz w:val="18"/>
                <w:szCs w:val="18"/>
                <w:color w:val="auto"/>
                <w:w w:val="93"/>
              </w:rPr>
              <w:t>DEF 14A</w:t>
            </w:r>
          </w:p>
        </w:tc>
        <w:tc>
          <w:tcPr>
            <w:tcW w:w="168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0"/>
              </w:rPr>
              <w:t>04/15/2011</w:t>
            </w:r>
          </w:p>
        </w:tc>
        <w:tc>
          <w:tcPr>
            <w:tcW w:w="720" w:type="dxa"/>
            <w:vAlign w:val="bottom"/>
            <w:vMerge w:val="restart"/>
          </w:tcPr>
          <w:p>
            <w:pPr>
              <w:ind w:left="4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20"/>
                <w:szCs w:val="20"/>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color w:val="auto"/>
                <w:w w:val="91"/>
              </w:rPr>
              <w:t>(001-34460)</w:t>
            </w: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980" w:type="dxa"/>
            <w:vAlign w:val="bottom"/>
            <w:vMerge w:val="restart"/>
          </w:tcPr>
          <w:p>
            <w:pPr>
              <w:jc w:val="center"/>
              <w:ind w:right="210"/>
              <w:spacing w:after="0"/>
              <w:rPr>
                <w:sz w:val="20"/>
                <w:szCs w:val="20"/>
                <w:color w:val="auto"/>
              </w:rPr>
            </w:pPr>
            <w:r>
              <w:rPr>
                <w:rFonts w:ascii="Arial" w:cs="Arial" w:eastAsia="Arial" w:hAnsi="Arial"/>
                <w:sz w:val="18"/>
                <w:szCs w:val="18"/>
                <w:color w:val="auto"/>
                <w:w w:val="99"/>
              </w:rPr>
              <w:t>8-K</w:t>
            </w: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11/18/2011</w:t>
            </w:r>
          </w:p>
        </w:tc>
        <w:tc>
          <w:tcPr>
            <w:tcW w:w="720" w:type="dxa"/>
            <w:vAlign w:val="bottom"/>
            <w:vMerge w:val="restart"/>
          </w:tcPr>
          <w:p>
            <w:pPr>
              <w:jc w:val="center"/>
              <w:ind w:left="310"/>
              <w:spacing w:after="0"/>
              <w:rPr>
                <w:sz w:val="20"/>
                <w:szCs w:val="20"/>
                <w:color w:val="auto"/>
              </w:rPr>
            </w:pPr>
            <w:r>
              <w:rPr>
                <w:rFonts w:ascii="Arial" w:cs="Arial" w:eastAsia="Arial" w:hAnsi="Arial"/>
                <w:sz w:val="18"/>
                <w:szCs w:val="18"/>
                <w:color w:val="auto"/>
                <w:w w:val="91"/>
              </w:rPr>
              <w:t>10.2</w:t>
            </w:r>
          </w:p>
        </w:tc>
        <w:tc>
          <w:tcPr>
            <w:tcW w:w="0" w:type="dxa"/>
            <w:vAlign w:val="bottom"/>
          </w:tcPr>
          <w:p>
            <w:pPr>
              <w:spacing w:after="0"/>
              <w:rPr>
                <w:sz w:val="1"/>
                <w:szCs w:val="1"/>
                <w:color w:val="auto"/>
              </w:rPr>
            </w:pPr>
          </w:p>
        </w:tc>
      </w:tr>
      <w:tr>
        <w:trPr>
          <w:trHeight w:val="229"/>
        </w:trPr>
        <w:tc>
          <w:tcPr>
            <w:tcW w:w="980" w:type="dxa"/>
            <w:vAlign w:val="bottom"/>
            <w:vMerge w:val="continue"/>
          </w:tcPr>
          <w:p>
            <w:pPr>
              <w:spacing w:after="0"/>
              <w:rPr>
                <w:sz w:val="19"/>
                <w:szCs w:val="19"/>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color w:val="auto"/>
                <w:w w:val="91"/>
              </w:rPr>
              <w:t>(001-34460)</w:t>
            </w: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80" w:type="dxa"/>
            <w:vAlign w:val="bottom"/>
            <w:vMerge w:val="restart"/>
          </w:tcPr>
          <w:p>
            <w:pPr>
              <w:jc w:val="center"/>
              <w:ind w:right="210"/>
              <w:spacing w:after="0"/>
              <w:rPr>
                <w:sz w:val="20"/>
                <w:szCs w:val="20"/>
                <w:color w:val="auto"/>
              </w:rPr>
            </w:pPr>
            <w:r>
              <w:rPr>
                <w:rFonts w:ascii="Arial" w:cs="Arial" w:eastAsia="Arial" w:hAnsi="Arial"/>
                <w:sz w:val="18"/>
                <w:szCs w:val="18"/>
                <w:color w:val="auto"/>
                <w:w w:val="99"/>
              </w:rPr>
              <w:t>8-K</w:t>
            </w:r>
          </w:p>
        </w:tc>
        <w:tc>
          <w:tcPr>
            <w:tcW w:w="168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0"/>
              </w:rPr>
              <w:t>06/05/2020</w:t>
            </w:r>
          </w:p>
        </w:tc>
        <w:tc>
          <w:tcPr>
            <w:tcW w:w="720" w:type="dxa"/>
            <w:vAlign w:val="bottom"/>
            <w:vMerge w:val="restart"/>
          </w:tcPr>
          <w:p>
            <w:pPr>
              <w:jc w:val="center"/>
              <w:ind w:left="310"/>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20"/>
                <w:szCs w:val="20"/>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color w:val="auto"/>
                <w:w w:val="91"/>
              </w:rPr>
              <w:t>(001-34460)</w:t>
            </w: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00" w:space="120"/>
            <w:col w:w="5660"/>
          </w:cols>
          <w:pgMar w:left="320" w:top="891" w:right="39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auto"/>
              </w:rPr>
              <w:t>10.9#</w:t>
            </w:r>
          </w:p>
        </w:tc>
        <w:tc>
          <w:tcPr>
            <w:tcW w:w="4080" w:type="dxa"/>
            <w:vAlign w:val="bottom"/>
            <w:gridSpan w:val="39"/>
          </w:tcPr>
          <w:p>
            <w:pPr>
              <w:spacing w:after="0"/>
              <w:rPr>
                <w:rFonts w:ascii="Arial" w:cs="Arial" w:eastAsia="Arial" w:hAnsi="Arial"/>
                <w:sz w:val="18"/>
                <w:szCs w:val="18"/>
                <w:color w:val="0000FF"/>
              </w:rPr>
            </w:pPr>
            <w:hyperlink r:id="rId94">
              <w:r>
                <w:rPr>
                  <w:rFonts w:ascii="Arial" w:cs="Arial" w:eastAsia="Arial" w:hAnsi="Arial"/>
                  <w:sz w:val="18"/>
                  <w:szCs w:val="18"/>
                  <w:color w:val="0000FF"/>
                </w:rPr>
                <w:t>Form of Restricted Stock Unit Grant &amp; Notice and</w:t>
              </w:r>
            </w:hyperlink>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3640" w:type="dxa"/>
            <w:vAlign w:val="bottom"/>
            <w:tcBorders>
              <w:top w:val="single" w:sz="8" w:color="0000FF"/>
            </w:tcBorders>
            <w:gridSpan w:val="17"/>
          </w:tcPr>
          <w:p>
            <w:pPr>
              <w:spacing w:after="0" w:line="156" w:lineRule="exact"/>
              <w:rPr>
                <w:rFonts w:ascii="Arial" w:cs="Arial" w:eastAsia="Arial" w:hAnsi="Arial"/>
                <w:sz w:val="18"/>
                <w:szCs w:val="18"/>
                <w:color w:val="0000FF"/>
                <w:w w:val="94"/>
              </w:rPr>
            </w:pPr>
            <w:hyperlink r:id="rId94">
              <w:r>
                <w:rPr>
                  <w:rFonts w:ascii="Arial" w:cs="Arial" w:eastAsia="Arial" w:hAnsi="Arial"/>
                  <w:sz w:val="18"/>
                  <w:szCs w:val="18"/>
                  <w:color w:val="0000FF"/>
                  <w:w w:val="94"/>
                </w:rPr>
                <w:t>Form of Restricted Stock Unit Award Agreement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400" w:type="dxa"/>
            <w:vAlign w:val="bottom"/>
          </w:tcPr>
          <w:p>
            <w:pPr>
              <w:spacing w:after="0"/>
              <w:rPr>
                <w:sz w:val="16"/>
                <w:szCs w:val="16"/>
                <w:color w:val="auto"/>
              </w:rPr>
            </w:pPr>
          </w:p>
        </w:tc>
        <w:tc>
          <w:tcPr>
            <w:tcW w:w="3560" w:type="dxa"/>
            <w:vAlign w:val="bottom"/>
            <w:tcBorders>
              <w:top w:val="single" w:sz="8" w:color="0000FF"/>
            </w:tcBorders>
            <w:gridSpan w:val="14"/>
          </w:tcPr>
          <w:p>
            <w:pPr>
              <w:spacing w:after="0" w:line="195" w:lineRule="exact"/>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pursuant to the 2014 Equity Incentive Plan.</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00" w:type="dxa"/>
            <w:vAlign w:val="bottom"/>
          </w:tcPr>
          <w:p>
            <w:pPr>
              <w:spacing w:after="0" w:line="190" w:lineRule="exact"/>
              <w:rPr>
                <w:sz w:val="20"/>
                <w:szCs w:val="20"/>
                <w:color w:val="auto"/>
              </w:rPr>
            </w:pPr>
            <w:r>
              <w:rPr>
                <w:rFonts w:ascii="Arial" w:cs="Arial" w:eastAsia="Arial" w:hAnsi="Arial"/>
                <w:sz w:val="18"/>
                <w:szCs w:val="18"/>
                <w:color w:val="auto"/>
              </w:rPr>
              <w:t>10.10#</w:t>
            </w:r>
          </w:p>
        </w:tc>
        <w:tc>
          <w:tcPr>
            <w:tcW w:w="4080" w:type="dxa"/>
            <w:vAlign w:val="bottom"/>
            <w:gridSpan w:val="39"/>
          </w:tcPr>
          <w:p>
            <w:pPr>
              <w:spacing w:after="0" w:line="190" w:lineRule="exact"/>
              <w:rPr>
                <w:rFonts w:ascii="Arial" w:cs="Arial" w:eastAsia="Arial" w:hAnsi="Arial"/>
                <w:sz w:val="18"/>
                <w:szCs w:val="18"/>
                <w:color w:val="0000FF"/>
              </w:rPr>
            </w:pPr>
            <w:hyperlink r:id="rId95">
              <w:r>
                <w:rPr>
                  <w:rFonts w:ascii="Arial" w:cs="Arial" w:eastAsia="Arial" w:hAnsi="Arial"/>
                  <w:sz w:val="18"/>
                  <w:szCs w:val="18"/>
                  <w:color w:val="0000FF"/>
                </w:rPr>
                <w:t>Second Amended and Restated Executive</w:t>
              </w:r>
            </w:hyperlink>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00" w:type="dxa"/>
            <w:vAlign w:val="bottom"/>
          </w:tcPr>
          <w:p>
            <w:pPr>
              <w:spacing w:after="0"/>
              <w:rPr>
                <w:sz w:val="13"/>
                <w:szCs w:val="13"/>
                <w:color w:val="auto"/>
              </w:rPr>
            </w:pPr>
          </w:p>
        </w:tc>
        <w:tc>
          <w:tcPr>
            <w:tcW w:w="4080" w:type="dxa"/>
            <w:vAlign w:val="bottom"/>
            <w:gridSpan w:val="39"/>
          </w:tcPr>
          <w:p>
            <w:pPr>
              <w:spacing w:after="0" w:line="156" w:lineRule="exact"/>
              <w:rPr>
                <w:rFonts w:ascii="Arial" w:cs="Arial" w:eastAsia="Arial" w:hAnsi="Arial"/>
                <w:sz w:val="18"/>
                <w:szCs w:val="18"/>
                <w:color w:val="0000FF"/>
                <w:w w:val="95"/>
              </w:rPr>
            </w:pPr>
            <w:hyperlink r:id="rId95">
              <w:r>
                <w:rPr>
                  <w:rFonts w:ascii="Arial" w:cs="Arial" w:eastAsia="Arial" w:hAnsi="Arial"/>
                  <w:sz w:val="18"/>
                  <w:szCs w:val="18"/>
                  <w:color w:val="0000FF"/>
                  <w:w w:val="95"/>
                </w:rPr>
                <w:t>Employment Agreement, dated as of August 4, 2011,</w:t>
              </w:r>
            </w:hyperlink>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382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88"/>
              </w:rPr>
            </w:pPr>
            <w:hyperlink r:id="rId95">
              <w:r>
                <w:rPr>
                  <w:rFonts w:ascii="Arial" w:cs="Arial" w:eastAsia="Arial" w:hAnsi="Arial"/>
                  <w:sz w:val="18"/>
                  <w:szCs w:val="18"/>
                  <w:color w:val="0000FF"/>
                  <w:w w:val="88"/>
                </w:rPr>
                <w:t>by and between Kratos Defense &amp; Security Solutions,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1700" w:type="dxa"/>
            <w:vAlign w:val="bottom"/>
            <w:tcBorders>
              <w:bottom w:val="single" w:sz="8" w:color="0000FF"/>
            </w:tcBorders>
            <w:gridSpan w:val="5"/>
          </w:tcPr>
          <w:p>
            <w:pPr>
              <w:spacing w:after="0" w:line="156" w:lineRule="exact"/>
              <w:rPr>
                <w:rFonts w:ascii="Arial" w:cs="Arial" w:eastAsia="Arial" w:hAnsi="Arial"/>
                <w:sz w:val="18"/>
                <w:szCs w:val="18"/>
                <w:color w:val="0000FF"/>
                <w:w w:val="91"/>
              </w:rPr>
            </w:pPr>
            <w:hyperlink r:id="rId95">
              <w:r>
                <w:rPr>
                  <w:rFonts w:ascii="Arial" w:cs="Arial" w:eastAsia="Arial" w:hAnsi="Arial"/>
                  <w:sz w:val="18"/>
                  <w:szCs w:val="18"/>
                  <w:color w:val="0000FF"/>
                  <w:w w:val="91"/>
                </w:rPr>
                <w:t>Inc. and Eric DeMarco.</w:t>
              </w:r>
            </w:hyperlink>
          </w:p>
        </w:tc>
        <w:tc>
          <w:tcPr>
            <w:tcW w:w="2200" w:type="dxa"/>
            <w:vAlign w:val="bottom"/>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00" w:type="dxa"/>
            <w:vAlign w:val="bottom"/>
          </w:tcPr>
          <w:p>
            <w:pPr>
              <w:spacing w:after="0"/>
              <w:rPr>
                <w:sz w:val="20"/>
                <w:szCs w:val="20"/>
                <w:color w:val="auto"/>
              </w:rPr>
            </w:pPr>
            <w:r>
              <w:rPr>
                <w:rFonts w:ascii="Arial" w:cs="Arial" w:eastAsia="Arial" w:hAnsi="Arial"/>
                <w:sz w:val="18"/>
                <w:szCs w:val="18"/>
                <w:color w:val="auto"/>
              </w:rPr>
              <w:t>10.11#</w:t>
            </w:r>
          </w:p>
        </w:tc>
        <w:tc>
          <w:tcPr>
            <w:tcW w:w="4080" w:type="dxa"/>
            <w:vAlign w:val="bottom"/>
            <w:gridSpan w:val="39"/>
          </w:tcPr>
          <w:p>
            <w:pPr>
              <w:spacing w:after="0"/>
              <w:rPr>
                <w:rFonts w:ascii="Arial" w:cs="Arial" w:eastAsia="Arial" w:hAnsi="Arial"/>
                <w:sz w:val="18"/>
                <w:szCs w:val="18"/>
                <w:color w:val="0000FF"/>
                <w:w w:val="90"/>
              </w:rPr>
            </w:pPr>
            <w:hyperlink r:id="rId96">
              <w:r>
                <w:rPr>
                  <w:rFonts w:ascii="Arial" w:cs="Arial" w:eastAsia="Arial" w:hAnsi="Arial"/>
                  <w:sz w:val="18"/>
                  <w:szCs w:val="18"/>
                  <w:color w:val="0000FF"/>
                  <w:w w:val="90"/>
                </w:rPr>
                <w:t>Second Amended and Restated Severance and Change</w:t>
              </w:r>
            </w:hyperlink>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4000" w:type="dxa"/>
            <w:vAlign w:val="bottom"/>
            <w:tcBorders>
              <w:top w:val="single" w:sz="8" w:color="0000FF"/>
            </w:tcBorders>
            <w:gridSpan w:val="35"/>
          </w:tcPr>
          <w:p>
            <w:pPr>
              <w:spacing w:after="0" w:line="156" w:lineRule="exact"/>
              <w:rPr>
                <w:rFonts w:ascii="Arial" w:cs="Arial" w:eastAsia="Arial" w:hAnsi="Arial"/>
                <w:sz w:val="18"/>
                <w:szCs w:val="18"/>
                <w:color w:val="0000FF"/>
                <w:w w:val="93"/>
              </w:rPr>
            </w:pPr>
            <w:hyperlink r:id="rId96">
              <w:r>
                <w:rPr>
                  <w:rFonts w:ascii="Arial" w:cs="Arial" w:eastAsia="Arial" w:hAnsi="Arial"/>
                  <w:sz w:val="18"/>
                  <w:szCs w:val="18"/>
                  <w:color w:val="0000FF"/>
                  <w:w w:val="93"/>
                </w:rPr>
                <w:t>of Control Agreement, dated as of August 4, 2011,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3880" w:type="dxa"/>
            <w:vAlign w:val="bottom"/>
            <w:tcBorders>
              <w:top w:val="single" w:sz="8" w:color="0000FF"/>
            </w:tcBorders>
            <w:gridSpan w:val="29"/>
          </w:tcPr>
          <w:p>
            <w:pPr>
              <w:spacing w:after="0" w:line="156" w:lineRule="exact"/>
              <w:rPr>
                <w:rFonts w:ascii="Arial" w:cs="Arial" w:eastAsia="Arial" w:hAnsi="Arial"/>
                <w:sz w:val="18"/>
                <w:szCs w:val="18"/>
                <w:color w:val="0000FF"/>
                <w:w w:val="95"/>
              </w:rPr>
            </w:pPr>
            <w:hyperlink r:id="rId96">
              <w:r>
                <w:rPr>
                  <w:rFonts w:ascii="Arial" w:cs="Arial" w:eastAsia="Arial" w:hAnsi="Arial"/>
                  <w:sz w:val="18"/>
                  <w:szCs w:val="18"/>
                  <w:color w:val="0000FF"/>
                  <w:w w:val="95"/>
                </w:rPr>
                <w:t>and between Kratos Defense &amp; Security Solutions,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36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96">
              <w:r>
                <w:rPr>
                  <w:rFonts w:ascii="Arial" w:cs="Arial" w:eastAsia="Arial" w:hAnsi="Arial"/>
                  <w:sz w:val="18"/>
                  <w:szCs w:val="18"/>
                  <w:color w:val="0000FF"/>
                </w:rPr>
                <w:t>Inc. and Deanna Lund.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spacing w:after="0"/>
              <w:rPr>
                <w:sz w:val="20"/>
                <w:szCs w:val="20"/>
                <w:color w:val="auto"/>
              </w:rPr>
            </w:pPr>
            <w:r>
              <w:rPr>
                <w:rFonts w:ascii="Arial" w:cs="Arial" w:eastAsia="Arial" w:hAnsi="Arial"/>
                <w:sz w:val="18"/>
                <w:szCs w:val="18"/>
                <w:color w:val="auto"/>
              </w:rPr>
              <w:t>10.12</w:t>
            </w:r>
          </w:p>
        </w:tc>
        <w:tc>
          <w:tcPr>
            <w:tcW w:w="4080" w:type="dxa"/>
            <w:vAlign w:val="bottom"/>
            <w:gridSpan w:val="39"/>
          </w:tcPr>
          <w:p>
            <w:pPr>
              <w:spacing w:after="0"/>
              <w:rPr>
                <w:rFonts w:ascii="Arial" w:cs="Arial" w:eastAsia="Arial" w:hAnsi="Arial"/>
                <w:sz w:val="18"/>
                <w:szCs w:val="18"/>
                <w:color w:val="0000FF"/>
              </w:rPr>
            </w:pPr>
            <w:hyperlink r:id="rId97">
              <w:r>
                <w:rPr>
                  <w:rFonts w:ascii="Arial" w:cs="Arial" w:eastAsia="Arial" w:hAnsi="Arial"/>
                  <w:sz w:val="18"/>
                  <w:szCs w:val="18"/>
                  <w:color w:val="0000FF"/>
                </w:rPr>
                <w:t>Amended and Restated Credit and Security</w:t>
              </w:r>
            </w:hyperlink>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3100" w:type="dxa"/>
            <w:vAlign w:val="bottom"/>
            <w:tcBorders>
              <w:top w:val="single" w:sz="8" w:color="0000FF"/>
            </w:tcBorders>
            <w:gridSpan w:val="10"/>
          </w:tcPr>
          <w:p>
            <w:pPr>
              <w:spacing w:after="0" w:line="156" w:lineRule="exact"/>
              <w:rPr>
                <w:rFonts w:ascii="Arial" w:cs="Arial" w:eastAsia="Arial" w:hAnsi="Arial"/>
                <w:sz w:val="18"/>
                <w:szCs w:val="18"/>
                <w:color w:val="0000FF"/>
                <w:w w:val="86"/>
              </w:rPr>
            </w:pPr>
            <w:hyperlink r:id="rId97">
              <w:r>
                <w:rPr>
                  <w:rFonts w:ascii="Arial" w:cs="Arial" w:eastAsia="Arial" w:hAnsi="Arial"/>
                  <w:sz w:val="18"/>
                  <w:szCs w:val="18"/>
                  <w:color w:val="0000FF"/>
                  <w:w w:val="86"/>
                </w:rPr>
                <w:t>Agreement, dated as of November 20, 2017,</w:t>
              </w:r>
            </w:hyperlink>
          </w:p>
        </w:tc>
        <w:tc>
          <w:tcPr>
            <w:tcW w:w="980" w:type="dxa"/>
            <w:vAlign w:val="bottom"/>
            <w:gridSpan w:val="29"/>
          </w:tcPr>
          <w:p>
            <w:pPr>
              <w:ind w:left="140"/>
              <w:spacing w:after="0" w:line="156" w:lineRule="exact"/>
              <w:rPr>
                <w:rFonts w:ascii="Arial" w:cs="Arial" w:eastAsia="Arial" w:hAnsi="Arial"/>
                <w:sz w:val="18"/>
                <w:szCs w:val="18"/>
                <w:color w:val="0000FF"/>
              </w:rPr>
            </w:pPr>
            <w:hyperlink r:id="rId97">
              <w:r>
                <w:rPr>
                  <w:rFonts w:ascii="Arial" w:cs="Arial" w:eastAsia="Arial" w:hAnsi="Arial"/>
                  <w:sz w:val="18"/>
                  <w:szCs w:val="18"/>
                  <w:color w:val="0000FF"/>
                </w:rPr>
                <w:t>among</w:t>
              </w:r>
            </w:hyperlink>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378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97">
              <w:r>
                <w:rPr>
                  <w:rFonts w:ascii="Arial" w:cs="Arial" w:eastAsia="Arial" w:hAnsi="Arial"/>
                  <w:sz w:val="18"/>
                  <w:szCs w:val="18"/>
                  <w:color w:val="0000FF"/>
                </w:rPr>
                <w:t>Kratos Defense &amp; Security Solutions, Inc., as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3260" w:type="dxa"/>
            <w:vAlign w:val="bottom"/>
            <w:tcBorders>
              <w:top w:val="single" w:sz="8" w:color="0000FF"/>
            </w:tcBorders>
            <w:gridSpan w:val="11"/>
          </w:tcPr>
          <w:p>
            <w:pPr>
              <w:spacing w:after="0" w:line="156" w:lineRule="exact"/>
              <w:rPr>
                <w:rFonts w:ascii="Arial" w:cs="Arial" w:eastAsia="Arial" w:hAnsi="Arial"/>
                <w:sz w:val="18"/>
                <w:szCs w:val="18"/>
                <w:color w:val="0000FF"/>
                <w:w w:val="86"/>
              </w:rPr>
            </w:pPr>
            <w:hyperlink r:id="rId97">
              <w:r>
                <w:rPr>
                  <w:rFonts w:ascii="Arial" w:cs="Arial" w:eastAsia="Arial" w:hAnsi="Arial"/>
                  <w:sz w:val="18"/>
                  <w:szCs w:val="18"/>
                  <w:color w:val="0000FF"/>
                  <w:w w:val="86"/>
                </w:rPr>
                <w:t>Borrower, the lenders named therein, SunTrust</w:t>
              </w:r>
            </w:hyperlink>
          </w:p>
        </w:tc>
        <w:tc>
          <w:tcPr>
            <w:tcW w:w="820" w:type="dxa"/>
            <w:vAlign w:val="bottom"/>
            <w:gridSpan w:val="28"/>
          </w:tcPr>
          <w:p>
            <w:pPr>
              <w:ind w:left="160"/>
              <w:spacing w:after="0" w:line="156" w:lineRule="exact"/>
              <w:rPr>
                <w:rFonts w:ascii="Arial" w:cs="Arial" w:eastAsia="Arial" w:hAnsi="Arial"/>
                <w:sz w:val="18"/>
                <w:szCs w:val="18"/>
                <w:color w:val="0000FF"/>
              </w:rPr>
            </w:pPr>
            <w:hyperlink r:id="rId97">
              <w:r>
                <w:rPr>
                  <w:rFonts w:ascii="Arial" w:cs="Arial" w:eastAsia="Arial" w:hAnsi="Arial"/>
                  <w:sz w:val="18"/>
                  <w:szCs w:val="18"/>
                  <w:color w:val="0000FF"/>
                </w:rPr>
                <w:t>Bank,</w:t>
              </w:r>
            </w:hyperlink>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3840" w:type="dxa"/>
            <w:vAlign w:val="bottom"/>
            <w:tcBorders>
              <w:top w:val="single" w:sz="8" w:color="0000FF"/>
            </w:tcBorders>
            <w:gridSpan w:val="27"/>
          </w:tcPr>
          <w:p>
            <w:pPr>
              <w:spacing w:after="0" w:line="142" w:lineRule="exact"/>
              <w:rPr>
                <w:rFonts w:ascii="Arial" w:cs="Arial" w:eastAsia="Arial" w:hAnsi="Arial"/>
                <w:sz w:val="16"/>
                <w:szCs w:val="16"/>
                <w:u w:val="single" w:color="auto"/>
                <w:color w:val="0000FF"/>
              </w:rPr>
            </w:pPr>
            <w:hyperlink r:id="rId97">
              <w:r>
                <w:rPr>
                  <w:rFonts w:ascii="Arial" w:cs="Arial" w:eastAsia="Arial" w:hAnsi="Arial"/>
                  <w:sz w:val="16"/>
                  <w:szCs w:val="16"/>
                  <w:u w:val="single" w:color="auto"/>
                  <w:color w:val="0000FF"/>
                </w:rPr>
                <w:t>as Agent, and SunTrust Robinson Humphrey, Inc., as</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4080" w:type="dxa"/>
            <w:vAlign w:val="bottom"/>
            <w:gridSpan w:val="39"/>
          </w:tcPr>
          <w:p>
            <w:pPr>
              <w:spacing w:after="0"/>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Lead Arranger and Sole Book Runner.</w:t>
              </w:r>
            </w:hyperlink>
          </w:p>
        </w:tc>
        <w:tc>
          <w:tcPr>
            <w:tcW w:w="0" w:type="dxa"/>
            <w:vAlign w:val="bottom"/>
          </w:tcPr>
          <w:p>
            <w:pPr>
              <w:spacing w:after="0"/>
              <w:rPr>
                <w:sz w:val="1"/>
                <w:szCs w:val="1"/>
                <w:color w:val="auto"/>
              </w:rPr>
            </w:pPr>
          </w:p>
        </w:tc>
      </w:tr>
      <w:tr>
        <w:trPr>
          <w:trHeight w:val="190"/>
        </w:trPr>
        <w:tc>
          <w:tcPr>
            <w:tcW w:w="1400" w:type="dxa"/>
            <w:vAlign w:val="bottom"/>
          </w:tcPr>
          <w:p>
            <w:pPr>
              <w:spacing w:after="0" w:line="190" w:lineRule="exact"/>
              <w:rPr>
                <w:sz w:val="20"/>
                <w:szCs w:val="20"/>
                <w:color w:val="auto"/>
              </w:rPr>
            </w:pPr>
            <w:r>
              <w:rPr>
                <w:rFonts w:ascii="Arial" w:cs="Arial" w:eastAsia="Arial" w:hAnsi="Arial"/>
                <w:sz w:val="18"/>
                <w:szCs w:val="18"/>
                <w:color w:val="auto"/>
              </w:rPr>
              <w:t>10.13</w:t>
            </w:r>
          </w:p>
        </w:tc>
        <w:tc>
          <w:tcPr>
            <w:tcW w:w="4080" w:type="dxa"/>
            <w:vAlign w:val="bottom"/>
            <w:gridSpan w:val="39"/>
          </w:tcPr>
          <w:p>
            <w:pPr>
              <w:spacing w:after="0" w:line="190" w:lineRule="exact"/>
              <w:rPr>
                <w:rFonts w:ascii="Arial" w:cs="Arial" w:eastAsia="Arial" w:hAnsi="Arial"/>
                <w:sz w:val="18"/>
                <w:szCs w:val="18"/>
                <w:color w:val="0000FF"/>
                <w:w w:val="92"/>
              </w:rPr>
            </w:pPr>
            <w:hyperlink r:id="rId98">
              <w:r>
                <w:rPr>
                  <w:rFonts w:ascii="Arial" w:cs="Arial" w:eastAsia="Arial" w:hAnsi="Arial"/>
                  <w:sz w:val="18"/>
                  <w:szCs w:val="18"/>
                  <w:color w:val="0000FF"/>
                  <w:w w:val="92"/>
                </w:rPr>
                <w:t>First Amendment to Amended and Restated Credit and</w:t>
              </w:r>
            </w:hyperlink>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404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98">
              <w:r>
                <w:rPr>
                  <w:rFonts w:ascii="Arial" w:cs="Arial" w:eastAsia="Arial" w:hAnsi="Arial"/>
                  <w:sz w:val="18"/>
                  <w:szCs w:val="18"/>
                  <w:color w:val="0000FF"/>
                </w:rPr>
                <w:t>Security Agreement, dated June 11, 2018, among</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3580" w:type="dxa"/>
            <w:vAlign w:val="bottom"/>
            <w:tcBorders>
              <w:top w:val="single" w:sz="8" w:color="0000FF"/>
            </w:tcBorders>
            <w:gridSpan w:val="15"/>
          </w:tcPr>
          <w:p>
            <w:pPr>
              <w:spacing w:after="0" w:line="156" w:lineRule="exact"/>
              <w:rPr>
                <w:rFonts w:ascii="Arial" w:cs="Arial" w:eastAsia="Arial" w:hAnsi="Arial"/>
                <w:sz w:val="18"/>
                <w:szCs w:val="18"/>
                <w:color w:val="0000FF"/>
                <w:w w:val="99"/>
              </w:rPr>
            </w:pPr>
            <w:hyperlink r:id="rId98">
              <w:r>
                <w:rPr>
                  <w:rFonts w:ascii="Arial" w:cs="Arial" w:eastAsia="Arial" w:hAnsi="Arial"/>
                  <w:sz w:val="18"/>
                  <w:szCs w:val="18"/>
                  <w:color w:val="0000FF"/>
                  <w:w w:val="99"/>
                </w:rPr>
                <w:t>Kratos Defense &amp; Security Solutions, Inc., as</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00" w:type="dxa"/>
            <w:vAlign w:val="bottom"/>
          </w:tcPr>
          <w:p>
            <w:pPr>
              <w:spacing w:after="0"/>
              <w:rPr>
                <w:sz w:val="12"/>
                <w:szCs w:val="12"/>
                <w:color w:val="auto"/>
              </w:rPr>
            </w:pPr>
          </w:p>
        </w:tc>
        <w:tc>
          <w:tcPr>
            <w:tcW w:w="4080" w:type="dxa"/>
            <w:vAlign w:val="bottom"/>
            <w:gridSpan w:val="39"/>
          </w:tcPr>
          <w:p>
            <w:pPr>
              <w:spacing w:after="0" w:line="142" w:lineRule="exact"/>
              <w:rPr>
                <w:rFonts w:ascii="Arial" w:cs="Arial" w:eastAsia="Arial" w:hAnsi="Arial"/>
                <w:sz w:val="16"/>
                <w:szCs w:val="16"/>
                <w:u w:val="single" w:color="auto"/>
                <w:color w:val="0000FF"/>
              </w:rPr>
            </w:pPr>
            <w:hyperlink r:id="rId98">
              <w:r>
                <w:rPr>
                  <w:rFonts w:ascii="Arial" w:cs="Arial" w:eastAsia="Arial" w:hAnsi="Arial"/>
                  <w:sz w:val="16"/>
                  <w:szCs w:val="16"/>
                  <w:u w:val="single" w:color="auto"/>
                  <w:color w:val="0000FF"/>
                </w:rPr>
                <w:t>Borrower, each of the Credit Parties and Required</w:t>
              </w:r>
            </w:hyperlink>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4080" w:type="dxa"/>
            <w:vAlign w:val="bottom"/>
            <w:gridSpan w:val="39"/>
          </w:tcPr>
          <w:p>
            <w:pPr>
              <w:spacing w:after="0"/>
              <w:rPr>
                <w:rFonts w:ascii="Arial" w:cs="Arial" w:eastAsia="Arial" w:hAnsi="Arial"/>
                <w:sz w:val="18"/>
                <w:szCs w:val="18"/>
                <w:u w:val="single" w:color="auto"/>
                <w:color w:val="0000FF"/>
                <w:w w:val="98"/>
              </w:rPr>
            </w:pPr>
            <w:hyperlink r:id="rId98">
              <w:r>
                <w:rPr>
                  <w:rFonts w:ascii="Arial" w:cs="Arial" w:eastAsia="Arial" w:hAnsi="Arial"/>
                  <w:sz w:val="18"/>
                  <w:szCs w:val="18"/>
                  <w:u w:val="single" w:color="auto"/>
                  <w:color w:val="0000FF"/>
                  <w:w w:val="98"/>
                </w:rPr>
                <w:t>Lenders party thereto and SunTrust Bank as Agent.</w:t>
              </w:r>
            </w:hyperlink>
          </w:p>
        </w:tc>
        <w:tc>
          <w:tcPr>
            <w:tcW w:w="0" w:type="dxa"/>
            <w:vAlign w:val="bottom"/>
          </w:tcPr>
          <w:p>
            <w:pPr>
              <w:spacing w:after="0"/>
              <w:rPr>
                <w:sz w:val="1"/>
                <w:szCs w:val="1"/>
                <w:color w:val="auto"/>
              </w:rPr>
            </w:pPr>
          </w:p>
        </w:tc>
      </w:tr>
      <w:tr>
        <w:trPr>
          <w:trHeight w:val="190"/>
        </w:trPr>
        <w:tc>
          <w:tcPr>
            <w:tcW w:w="1400" w:type="dxa"/>
            <w:vAlign w:val="bottom"/>
          </w:tcPr>
          <w:p>
            <w:pPr>
              <w:spacing w:after="0" w:line="190" w:lineRule="exact"/>
              <w:rPr>
                <w:sz w:val="20"/>
                <w:szCs w:val="20"/>
                <w:color w:val="auto"/>
              </w:rPr>
            </w:pPr>
            <w:r>
              <w:rPr>
                <w:rFonts w:ascii="Arial" w:cs="Arial" w:eastAsia="Arial" w:hAnsi="Arial"/>
                <w:sz w:val="18"/>
                <w:szCs w:val="18"/>
                <w:color w:val="auto"/>
              </w:rPr>
              <w:t>10.14</w:t>
            </w:r>
          </w:p>
        </w:tc>
        <w:tc>
          <w:tcPr>
            <w:tcW w:w="4080" w:type="dxa"/>
            <w:vAlign w:val="bottom"/>
            <w:gridSpan w:val="39"/>
          </w:tcPr>
          <w:p>
            <w:pPr>
              <w:spacing w:after="0" w:line="190" w:lineRule="exact"/>
              <w:rPr>
                <w:rFonts w:ascii="Arial" w:cs="Arial" w:eastAsia="Arial" w:hAnsi="Arial"/>
                <w:sz w:val="18"/>
                <w:szCs w:val="18"/>
                <w:color w:val="0000FF"/>
                <w:w w:val="91"/>
              </w:rPr>
            </w:pPr>
            <w:hyperlink r:id="rId99">
              <w:r>
                <w:rPr>
                  <w:rFonts w:ascii="Arial" w:cs="Arial" w:eastAsia="Arial" w:hAnsi="Arial"/>
                  <w:sz w:val="18"/>
                  <w:szCs w:val="18"/>
                  <w:color w:val="0000FF"/>
                  <w:w w:val="91"/>
                </w:rPr>
                <w:t>Office Lease, dated as of May 1, 2017, by and between</w:t>
              </w:r>
            </w:hyperlink>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4060" w:type="dxa"/>
            <w:vAlign w:val="bottom"/>
            <w:tcBorders>
              <w:top w:val="single" w:sz="8" w:color="0000FF"/>
            </w:tcBorders>
            <w:gridSpan w:val="38"/>
          </w:tcPr>
          <w:p>
            <w:pPr>
              <w:spacing w:after="0" w:line="156" w:lineRule="exact"/>
              <w:rPr>
                <w:rFonts w:ascii="Arial" w:cs="Arial" w:eastAsia="Arial" w:hAnsi="Arial"/>
                <w:sz w:val="18"/>
                <w:szCs w:val="18"/>
                <w:color w:val="0000FF"/>
                <w:w w:val="99"/>
              </w:rPr>
            </w:pPr>
            <w:hyperlink r:id="rId99">
              <w:r>
                <w:rPr>
                  <w:rFonts w:ascii="Arial" w:cs="Arial" w:eastAsia="Arial" w:hAnsi="Arial"/>
                  <w:sz w:val="18"/>
                  <w:szCs w:val="18"/>
                  <w:color w:val="0000FF"/>
                  <w:w w:val="99"/>
                </w:rPr>
                <w:t>Kratos Defense &amp; Security Solutions, Inc. and TPP</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00" w:type="dxa"/>
            <w:vAlign w:val="bottom"/>
            <w:vMerge w:val="restart"/>
          </w:tcPr>
          <w:p>
            <w:pPr>
              <w:spacing w:after="0"/>
              <w:rPr>
                <w:sz w:val="20"/>
                <w:szCs w:val="20"/>
                <w:color w:val="auto"/>
              </w:rPr>
            </w:pPr>
            <w:r>
              <w:rPr>
                <w:rFonts w:ascii="Arial" w:cs="Arial" w:eastAsia="Arial" w:hAnsi="Arial"/>
                <w:sz w:val="18"/>
                <w:szCs w:val="18"/>
                <w:color w:val="auto"/>
              </w:rPr>
              <w:t>10.15</w:t>
            </w:r>
          </w:p>
        </w:tc>
        <w:tc>
          <w:tcPr>
            <w:tcW w:w="37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212 Scripps, LLC.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0" w:type="dxa"/>
            <w:vAlign w:val="bottom"/>
            <w:vMerge w:val="continue"/>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0" w:type="dxa"/>
            <w:vAlign w:val="bottom"/>
            <w:vMerge w:val="continue"/>
          </w:tcPr>
          <w:p>
            <w:pPr>
              <w:spacing w:after="0"/>
              <w:rPr>
                <w:sz w:val="20"/>
                <w:szCs w:val="20"/>
                <w:color w:val="auto"/>
              </w:rPr>
            </w:pPr>
          </w:p>
        </w:tc>
        <w:tc>
          <w:tcPr>
            <w:tcW w:w="4080" w:type="dxa"/>
            <w:vAlign w:val="bottom"/>
            <w:gridSpan w:val="39"/>
          </w:tcPr>
          <w:p>
            <w:pPr>
              <w:spacing w:after="0"/>
              <w:rPr>
                <w:rFonts w:ascii="Arial" w:cs="Arial" w:eastAsia="Arial" w:hAnsi="Arial"/>
                <w:sz w:val="18"/>
                <w:szCs w:val="18"/>
                <w:color w:val="0000FF"/>
                <w:w w:val="93"/>
              </w:rPr>
            </w:pPr>
            <w:hyperlink r:id="rId100">
              <w:r>
                <w:rPr>
                  <w:rFonts w:ascii="Arial" w:cs="Arial" w:eastAsia="Arial" w:hAnsi="Arial"/>
                  <w:sz w:val="18"/>
                  <w:szCs w:val="18"/>
                  <w:color w:val="0000FF"/>
                  <w:w w:val="93"/>
                </w:rPr>
                <w:t>Amended and Restated Lease Agreement, dated as of</w:t>
              </w:r>
            </w:hyperlink>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3860" w:type="dxa"/>
            <w:vAlign w:val="bottom"/>
            <w:tcBorders>
              <w:top w:val="single" w:sz="8" w:color="0000FF"/>
            </w:tcBorders>
            <w:gridSpan w:val="28"/>
          </w:tcPr>
          <w:p>
            <w:pPr>
              <w:spacing w:after="0" w:line="156" w:lineRule="exact"/>
              <w:rPr>
                <w:rFonts w:ascii="Arial" w:cs="Arial" w:eastAsia="Arial" w:hAnsi="Arial"/>
                <w:sz w:val="18"/>
                <w:szCs w:val="18"/>
                <w:color w:val="0000FF"/>
                <w:w w:val="97"/>
              </w:rPr>
            </w:pPr>
            <w:hyperlink r:id="rId100">
              <w:r>
                <w:rPr>
                  <w:rFonts w:ascii="Arial" w:cs="Arial" w:eastAsia="Arial" w:hAnsi="Arial"/>
                  <w:sz w:val="18"/>
                  <w:szCs w:val="18"/>
                  <w:color w:val="0000FF"/>
                  <w:w w:val="97"/>
                </w:rPr>
                <w:t>January 1, 2019, by and between STORE Capital</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400" w:type="dxa"/>
            <w:vAlign w:val="bottom"/>
          </w:tcPr>
          <w:p>
            <w:pPr>
              <w:spacing w:after="0"/>
              <w:rPr>
                <w:sz w:val="19"/>
                <w:szCs w:val="19"/>
                <w:color w:val="auto"/>
              </w:rPr>
            </w:pPr>
          </w:p>
        </w:tc>
        <w:tc>
          <w:tcPr>
            <w:tcW w:w="3540" w:type="dxa"/>
            <w:vAlign w:val="bottom"/>
            <w:tcBorders>
              <w:top w:val="single" w:sz="8" w:color="0000FF"/>
            </w:tcBorders>
            <w:gridSpan w:val="13"/>
          </w:tcPr>
          <w:p>
            <w:pPr>
              <w:spacing w:after="0"/>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Acquisitions, LLC and Kratos RT Logic, Inc.</w:t>
              </w:r>
            </w:hyperlink>
          </w:p>
        </w:tc>
        <w:tc>
          <w:tcPr>
            <w:tcW w:w="60" w:type="dxa"/>
            <w:vAlign w:val="bottom"/>
            <w:gridSpan w:val="3"/>
          </w:tcPr>
          <w:p>
            <w:pPr>
              <w:spacing w:after="0"/>
              <w:rPr>
                <w:sz w:val="19"/>
                <w:szCs w:val="19"/>
                <w:color w:val="auto"/>
              </w:rPr>
            </w:pPr>
          </w:p>
        </w:tc>
        <w:tc>
          <w:tcPr>
            <w:tcW w:w="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120" w:type="dxa"/>
            <w:vAlign w:val="bottom"/>
            <w:gridSpan w:val="6"/>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400" w:type="dxa"/>
            <w:vAlign w:val="bottom"/>
          </w:tcPr>
          <w:p>
            <w:pPr>
              <w:spacing w:after="0" w:line="201" w:lineRule="exact"/>
              <w:rPr>
                <w:sz w:val="20"/>
                <w:szCs w:val="20"/>
                <w:color w:val="auto"/>
              </w:rPr>
            </w:pPr>
            <w:r>
              <w:rPr>
                <w:rFonts w:ascii="Arial" w:cs="Arial" w:eastAsia="Arial" w:hAnsi="Arial"/>
                <w:sz w:val="18"/>
                <w:szCs w:val="18"/>
                <w:color w:val="auto"/>
              </w:rPr>
              <w:t>10.16</w:t>
            </w:r>
          </w:p>
        </w:tc>
        <w:tc>
          <w:tcPr>
            <w:tcW w:w="4080" w:type="dxa"/>
            <w:vAlign w:val="bottom"/>
            <w:gridSpan w:val="39"/>
          </w:tcPr>
          <w:p>
            <w:pPr>
              <w:spacing w:after="0" w:line="201" w:lineRule="exact"/>
              <w:rPr>
                <w:rFonts w:ascii="Arial" w:cs="Arial" w:eastAsia="Arial" w:hAnsi="Arial"/>
                <w:sz w:val="18"/>
                <w:szCs w:val="18"/>
                <w:color w:val="0000FF"/>
                <w:w w:val="99"/>
              </w:rPr>
            </w:pPr>
            <w:hyperlink r:id="rId101">
              <w:r>
                <w:rPr>
                  <w:rFonts w:ascii="Arial" w:cs="Arial" w:eastAsia="Arial" w:hAnsi="Arial"/>
                  <w:sz w:val="18"/>
                  <w:szCs w:val="18"/>
                  <w:color w:val="0000FF"/>
                  <w:w w:val="99"/>
                </w:rPr>
                <w:t>Exchange Agreement, dated February 27, 2019, by</w:t>
              </w:r>
            </w:hyperlink>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3680" w:type="dxa"/>
            <w:vAlign w:val="bottom"/>
            <w:tcBorders>
              <w:top w:val="single" w:sz="8" w:color="0000FF"/>
            </w:tcBorders>
            <w:gridSpan w:val="19"/>
          </w:tcPr>
          <w:p>
            <w:pPr>
              <w:spacing w:after="0" w:line="156" w:lineRule="exact"/>
              <w:rPr>
                <w:rFonts w:ascii="Arial" w:cs="Arial" w:eastAsia="Arial" w:hAnsi="Arial"/>
                <w:sz w:val="18"/>
                <w:szCs w:val="18"/>
                <w:color w:val="0000FF"/>
                <w:w w:val="93"/>
              </w:rPr>
            </w:pPr>
            <w:hyperlink r:id="rId101">
              <w:r>
                <w:rPr>
                  <w:rFonts w:ascii="Arial" w:cs="Arial" w:eastAsia="Arial" w:hAnsi="Arial"/>
                  <w:sz w:val="18"/>
                  <w:szCs w:val="18"/>
                  <w:color w:val="0000FF"/>
                  <w:w w:val="93"/>
                </w:rPr>
                <w:t>and among Kratos Defense &amp; Security Solutions,</w:t>
              </w:r>
            </w:hyperlink>
          </w:p>
        </w:tc>
        <w:tc>
          <w:tcPr>
            <w:tcW w:w="400" w:type="dxa"/>
            <w:vAlign w:val="bottom"/>
            <w:gridSpan w:val="20"/>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Inc.,</w:t>
              </w:r>
            </w:hyperlink>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3960" w:type="dxa"/>
            <w:vAlign w:val="bottom"/>
            <w:tcBorders>
              <w:top w:val="single" w:sz="8" w:color="0000FF"/>
            </w:tcBorders>
            <w:gridSpan w:val="33"/>
          </w:tcPr>
          <w:p>
            <w:pPr>
              <w:spacing w:after="0" w:line="156" w:lineRule="exact"/>
              <w:rPr>
                <w:rFonts w:ascii="Arial" w:cs="Arial" w:eastAsia="Arial" w:hAnsi="Arial"/>
                <w:sz w:val="18"/>
                <w:szCs w:val="18"/>
                <w:color w:val="0000FF"/>
                <w:w w:val="93"/>
              </w:rPr>
            </w:pPr>
            <w:hyperlink r:id="rId101">
              <w:r>
                <w:rPr>
                  <w:rFonts w:ascii="Arial" w:cs="Arial" w:eastAsia="Arial" w:hAnsi="Arial"/>
                  <w:sz w:val="18"/>
                  <w:szCs w:val="18"/>
                  <w:color w:val="0000FF"/>
                  <w:w w:val="93"/>
                </w:rPr>
                <w:t>FTT CORE, LLC, Florida Turbine Technologies, Inc.,</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3940" w:type="dxa"/>
            <w:vAlign w:val="bottom"/>
            <w:tcBorders>
              <w:top w:val="single" w:sz="8" w:color="0000FF"/>
            </w:tcBorders>
            <w:gridSpan w:val="32"/>
          </w:tcPr>
          <w:p>
            <w:pPr>
              <w:spacing w:after="0" w:line="142" w:lineRule="exact"/>
              <w:rPr>
                <w:rFonts w:ascii="Arial" w:cs="Arial" w:eastAsia="Arial" w:hAnsi="Arial"/>
                <w:sz w:val="16"/>
                <w:szCs w:val="16"/>
                <w:u w:val="single" w:color="auto"/>
                <w:color w:val="0000FF"/>
              </w:rPr>
            </w:pPr>
            <w:hyperlink r:id="rId101">
              <w:r>
                <w:rPr>
                  <w:rFonts w:ascii="Arial" w:cs="Arial" w:eastAsia="Arial" w:hAnsi="Arial"/>
                  <w:sz w:val="16"/>
                  <w:szCs w:val="16"/>
                  <w:u w:val="single" w:color="auto"/>
                  <w:color w:val="0000FF"/>
                </w:rPr>
                <w:t>Shirley Brostmeyer (“SB”), Joseph Brostmeyer (“JB”),</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4080" w:type="dxa"/>
            <w:vAlign w:val="bottom"/>
            <w:gridSpan w:val="39"/>
          </w:tcPr>
          <w:p>
            <w:pPr>
              <w:spacing w:after="0"/>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and certain trusts established by S</w:t>
              </w:r>
            </w:hyperlink>
          </w:p>
        </w:tc>
        <w:tc>
          <w:tcPr>
            <w:tcW w:w="0" w:type="dxa"/>
            <w:vAlign w:val="bottom"/>
          </w:tcPr>
          <w:p>
            <w:pPr>
              <w:spacing w:after="0"/>
              <w:rPr>
                <w:sz w:val="1"/>
                <w:szCs w:val="1"/>
                <w:color w:val="auto"/>
              </w:rPr>
            </w:pPr>
          </w:p>
        </w:tc>
      </w:tr>
      <w:tr>
        <w:trPr>
          <w:trHeight w:val="190"/>
        </w:trPr>
        <w:tc>
          <w:tcPr>
            <w:tcW w:w="1400" w:type="dxa"/>
            <w:vAlign w:val="bottom"/>
          </w:tcPr>
          <w:p>
            <w:pPr>
              <w:spacing w:after="0" w:line="190" w:lineRule="exact"/>
              <w:rPr>
                <w:sz w:val="20"/>
                <w:szCs w:val="20"/>
                <w:color w:val="auto"/>
              </w:rPr>
            </w:pPr>
            <w:r>
              <w:rPr>
                <w:rFonts w:ascii="Arial" w:cs="Arial" w:eastAsia="Arial" w:hAnsi="Arial"/>
                <w:sz w:val="18"/>
                <w:szCs w:val="18"/>
                <w:color w:val="auto"/>
              </w:rPr>
              <w:t>10.17#</w:t>
            </w:r>
          </w:p>
        </w:tc>
        <w:tc>
          <w:tcPr>
            <w:tcW w:w="4080" w:type="dxa"/>
            <w:vAlign w:val="bottom"/>
            <w:gridSpan w:val="39"/>
          </w:tcPr>
          <w:p>
            <w:pPr>
              <w:spacing w:after="0" w:line="190" w:lineRule="exact"/>
              <w:rPr>
                <w:rFonts w:ascii="Arial" w:cs="Arial" w:eastAsia="Arial" w:hAnsi="Arial"/>
                <w:sz w:val="18"/>
                <w:szCs w:val="18"/>
                <w:color w:val="0000FF"/>
                <w:w w:val="96"/>
              </w:rPr>
            </w:pPr>
            <w:hyperlink r:id="rId102">
              <w:r>
                <w:rPr>
                  <w:rFonts w:ascii="Arial" w:cs="Arial" w:eastAsia="Arial" w:hAnsi="Arial"/>
                  <w:sz w:val="18"/>
                  <w:szCs w:val="18"/>
                  <w:color w:val="0000FF"/>
                  <w:w w:val="96"/>
                </w:rPr>
                <w:t>Executive Employment Agreement, dated January 1,</w:t>
              </w:r>
            </w:hyperlink>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3800" w:type="dxa"/>
            <w:vAlign w:val="bottom"/>
            <w:tcBorders>
              <w:top w:val="single" w:sz="8" w:color="0000FF"/>
            </w:tcBorders>
            <w:gridSpan w:val="25"/>
          </w:tcPr>
          <w:p>
            <w:pPr>
              <w:spacing w:after="0" w:line="156" w:lineRule="exact"/>
              <w:rPr>
                <w:rFonts w:ascii="Arial" w:cs="Arial" w:eastAsia="Arial" w:hAnsi="Arial"/>
                <w:sz w:val="18"/>
                <w:szCs w:val="18"/>
                <w:color w:val="0000FF"/>
                <w:w w:val="96"/>
              </w:rPr>
            </w:pPr>
            <w:hyperlink r:id="rId102">
              <w:r>
                <w:rPr>
                  <w:rFonts w:ascii="Arial" w:cs="Arial" w:eastAsia="Arial" w:hAnsi="Arial"/>
                  <w:sz w:val="18"/>
                  <w:szCs w:val="18"/>
                  <w:color w:val="0000FF"/>
                  <w:w w:val="96"/>
                </w:rPr>
                <w:t>2017, by and between Kratos Defense &amp; Security</w:t>
              </w:r>
            </w:hyperlink>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24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102">
              <w:r>
                <w:rPr>
                  <w:rFonts w:ascii="Arial" w:cs="Arial" w:eastAsia="Arial" w:hAnsi="Arial"/>
                  <w:sz w:val="18"/>
                  <w:szCs w:val="18"/>
                  <w:color w:val="0000FF"/>
                  <w:w w:val="91"/>
                </w:rPr>
                <w:t>Solutions, Inc. and Ben Goodwin</w:t>
              </w:r>
            </w:hyperlink>
          </w:p>
        </w:tc>
        <w:tc>
          <w:tcPr>
            <w:tcW w:w="1200" w:type="dxa"/>
            <w:vAlign w:val="bottom"/>
            <w:tcBorders>
              <w:top w:val="single" w:sz="8" w:color="0000FF"/>
            </w:tcBorders>
            <w:gridSpan w:val="9"/>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1400" w:type="dxa"/>
            <w:vAlign w:val="bottom"/>
          </w:tcPr>
          <w:p>
            <w:pPr>
              <w:spacing w:after="0"/>
              <w:rPr>
                <w:sz w:val="20"/>
                <w:szCs w:val="20"/>
                <w:color w:val="auto"/>
              </w:rPr>
            </w:pPr>
            <w:r>
              <w:rPr>
                <w:rFonts w:ascii="Arial" w:cs="Arial" w:eastAsia="Arial" w:hAnsi="Arial"/>
                <w:sz w:val="18"/>
                <w:szCs w:val="18"/>
                <w:color w:val="auto"/>
              </w:rPr>
              <w:t>10.18#</w:t>
            </w:r>
          </w:p>
        </w:tc>
        <w:tc>
          <w:tcPr>
            <w:tcW w:w="4080" w:type="dxa"/>
            <w:vAlign w:val="bottom"/>
            <w:gridSpan w:val="39"/>
          </w:tcPr>
          <w:p>
            <w:pPr>
              <w:spacing w:after="0"/>
              <w:rPr>
                <w:rFonts w:ascii="Arial" w:cs="Arial" w:eastAsia="Arial" w:hAnsi="Arial"/>
                <w:sz w:val="18"/>
                <w:szCs w:val="18"/>
                <w:color w:val="0000FF"/>
                <w:w w:val="94"/>
              </w:rPr>
            </w:pPr>
            <w:hyperlink r:id="rId103">
              <w:r>
                <w:rPr>
                  <w:rFonts w:ascii="Arial" w:cs="Arial" w:eastAsia="Arial" w:hAnsi="Arial"/>
                  <w:sz w:val="18"/>
                  <w:szCs w:val="18"/>
                  <w:color w:val="0000FF"/>
                  <w:w w:val="94"/>
                </w:rPr>
                <w:t>Employment Agreement, effective January 1, 2018 by</w:t>
              </w:r>
            </w:hyperlink>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3920" w:type="dxa"/>
            <w:vAlign w:val="bottom"/>
            <w:tcBorders>
              <w:top w:val="single" w:sz="8" w:color="0000FF"/>
            </w:tcBorders>
            <w:gridSpan w:val="31"/>
          </w:tcPr>
          <w:p>
            <w:pPr>
              <w:spacing w:after="0" w:line="156" w:lineRule="exact"/>
              <w:rPr>
                <w:rFonts w:ascii="Arial" w:cs="Arial" w:eastAsia="Arial" w:hAnsi="Arial"/>
                <w:sz w:val="18"/>
                <w:szCs w:val="18"/>
                <w:color w:val="0000FF"/>
                <w:w w:val="93"/>
              </w:rPr>
            </w:pPr>
            <w:hyperlink r:id="rId103">
              <w:r>
                <w:rPr>
                  <w:rFonts w:ascii="Arial" w:cs="Arial" w:eastAsia="Arial" w:hAnsi="Arial"/>
                  <w:sz w:val="18"/>
                  <w:szCs w:val="18"/>
                  <w:color w:val="0000FF"/>
                  <w:w w:val="93"/>
                </w:rPr>
                <w:t>and between Kratos Defense and Security Systems,</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37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03">
              <w:r>
                <w:rPr>
                  <w:rFonts w:ascii="Arial" w:cs="Arial" w:eastAsia="Arial" w:hAnsi="Arial"/>
                  <w:sz w:val="18"/>
                  <w:szCs w:val="18"/>
                  <w:color w:val="0000FF"/>
                </w:rPr>
                <w:t>Inc. and Phil Carrai</w:t>
              </w:r>
            </w:hyperlink>
          </w:p>
        </w:tc>
        <w:tc>
          <w:tcPr>
            <w:tcW w:w="20" w:type="dxa"/>
            <w:vAlign w:val="bottom"/>
          </w:tcPr>
          <w:p>
            <w:pPr>
              <w:spacing w:after="0"/>
              <w:rPr>
                <w:sz w:val="13"/>
                <w:szCs w:val="13"/>
                <w:color w:val="auto"/>
              </w:rPr>
            </w:pPr>
          </w:p>
        </w:tc>
        <w:tc>
          <w:tcPr>
            <w:tcW w:w="220" w:type="dxa"/>
            <w:vAlign w:val="bottom"/>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tcPr>
          <w:p>
            <w:pPr>
              <w:spacing w:after="0"/>
              <w:rPr>
                <w:sz w:val="20"/>
                <w:szCs w:val="20"/>
                <w:color w:val="auto"/>
              </w:rPr>
            </w:pPr>
            <w:r>
              <w:rPr>
                <w:rFonts w:ascii="Arial" w:cs="Arial" w:eastAsia="Arial" w:hAnsi="Arial"/>
                <w:sz w:val="18"/>
                <w:szCs w:val="18"/>
                <w:color w:val="auto"/>
              </w:rPr>
              <w:t>10.19#</w:t>
            </w:r>
          </w:p>
        </w:tc>
        <w:tc>
          <w:tcPr>
            <w:tcW w:w="4080" w:type="dxa"/>
            <w:vAlign w:val="bottom"/>
            <w:gridSpan w:val="39"/>
          </w:tcPr>
          <w:p>
            <w:pPr>
              <w:spacing w:after="0"/>
              <w:rPr>
                <w:rFonts w:ascii="Arial" w:cs="Arial" w:eastAsia="Arial" w:hAnsi="Arial"/>
                <w:sz w:val="18"/>
                <w:szCs w:val="18"/>
                <w:color w:val="0000FF"/>
                <w:w w:val="93"/>
              </w:rPr>
            </w:pPr>
            <w:hyperlink w:anchor="page108">
              <w:r>
                <w:rPr>
                  <w:rFonts w:ascii="Arial" w:cs="Arial" w:eastAsia="Arial" w:hAnsi="Arial"/>
                  <w:sz w:val="18"/>
                  <w:szCs w:val="18"/>
                  <w:u w:val="single" w:color="auto"/>
                  <w:color w:val="0000FF"/>
                  <w:w w:val="93"/>
                </w:rPr>
                <w:t>Employment Agreement, effective</w:t>
              </w:r>
              <w:r>
                <w:rPr>
                  <w:rFonts w:ascii="Arial" w:cs="Arial" w:eastAsia="Arial" w:hAnsi="Arial"/>
                  <w:sz w:val="18"/>
                  <w:szCs w:val="18"/>
                  <w:color w:val="0000FF"/>
                  <w:w w:val="93"/>
                </w:rPr>
                <w:t xml:space="preserve"> November </w:t>
              </w:r>
            </w:hyperlink>
            <w:r>
              <w:rPr>
                <w:rFonts w:ascii="Arial" w:cs="Arial" w:eastAsia="Arial" w:hAnsi="Arial"/>
                <w:sz w:val="18"/>
                <w:szCs w:val="18"/>
                <w:color w:val="0000FF"/>
                <w:w w:val="93"/>
              </w:rPr>
              <w:t>18</w:t>
            </w:r>
            <w:hyperlink w:anchor="page108">
              <w:r>
                <w:rPr>
                  <w:rFonts w:ascii="Arial" w:cs="Arial" w:eastAsia="Arial" w:hAnsi="Arial"/>
                  <w:sz w:val="18"/>
                  <w:szCs w:val="18"/>
                  <w:color w:val="0000FF"/>
                  <w:w w:val="93"/>
                </w:rPr>
                <w:t xml:space="preserve">, </w:t>
              </w:r>
            </w:hyperlink>
            <w:r>
              <w:rPr>
                <w:rFonts w:ascii="Arial" w:cs="Arial" w:eastAsia="Arial" w:hAnsi="Arial"/>
                <w:sz w:val="18"/>
                <w:szCs w:val="18"/>
                <w:u w:val="single" w:color="auto"/>
                <w:color w:val="0000FF"/>
                <w:w w:val="93"/>
              </w:rPr>
              <w:t>2020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540" w:type="dxa"/>
            <w:vAlign w:val="bottom"/>
            <w:gridSpan w:val="8"/>
            <w:vMerge w:val="restart"/>
          </w:tcPr>
          <w:p>
            <w:pPr>
              <w:spacing w:after="0" w:line="176" w:lineRule="exact"/>
              <w:rPr>
                <w:rFonts w:ascii="Arial" w:cs="Arial" w:eastAsia="Arial" w:hAnsi="Arial"/>
                <w:sz w:val="18"/>
                <w:szCs w:val="18"/>
                <w:color w:val="0000FF"/>
                <w:w w:val="86"/>
              </w:rPr>
            </w:pPr>
            <w:hyperlink w:anchor="page108">
              <w:r>
                <w:rPr>
                  <w:rFonts w:ascii="Arial" w:cs="Arial" w:eastAsia="Arial" w:hAnsi="Arial"/>
                  <w:sz w:val="18"/>
                  <w:szCs w:val="18"/>
                  <w:color w:val="0000FF"/>
                  <w:w w:val="86"/>
                </w:rPr>
                <w:t>by and between Kratos Defense and</w:t>
              </w:r>
            </w:hyperlink>
          </w:p>
        </w:tc>
        <w:tc>
          <w:tcPr>
            <w:tcW w:w="980" w:type="dxa"/>
            <w:vAlign w:val="bottom"/>
            <w:gridSpan w:val="4"/>
            <w:shd w:val="clear" w:color="auto" w:fill="0000FF"/>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400" w:type="dxa"/>
            <w:vAlign w:val="bottom"/>
          </w:tcPr>
          <w:p>
            <w:pPr>
              <w:spacing w:after="0"/>
              <w:rPr>
                <w:sz w:val="13"/>
                <w:szCs w:val="13"/>
                <w:color w:val="auto"/>
              </w:rPr>
            </w:pPr>
          </w:p>
        </w:tc>
        <w:tc>
          <w:tcPr>
            <w:tcW w:w="2540" w:type="dxa"/>
            <w:vAlign w:val="bottom"/>
            <w:gridSpan w:val="8"/>
            <w:vMerge w:val="continue"/>
          </w:tcPr>
          <w:p>
            <w:pPr>
              <w:spacing w:after="0"/>
              <w:rPr>
                <w:sz w:val="13"/>
                <w:szCs w:val="13"/>
                <w:color w:val="auto"/>
              </w:rPr>
            </w:pPr>
          </w:p>
        </w:tc>
        <w:tc>
          <w:tcPr>
            <w:tcW w:w="1540" w:type="dxa"/>
            <w:vAlign w:val="bottom"/>
            <w:gridSpan w:val="31"/>
          </w:tcPr>
          <w:p>
            <w:pPr>
              <w:ind w:left="100"/>
              <w:spacing w:after="0" w:line="156" w:lineRule="exact"/>
              <w:rPr>
                <w:rFonts w:ascii="Arial" w:cs="Arial" w:eastAsia="Arial" w:hAnsi="Arial"/>
                <w:sz w:val="18"/>
                <w:szCs w:val="18"/>
                <w:color w:val="0000FF"/>
                <w:w w:val="98"/>
              </w:rPr>
            </w:pPr>
            <w:hyperlink w:anchor="page108">
              <w:r>
                <w:rPr>
                  <w:rFonts w:ascii="Arial" w:cs="Arial" w:eastAsia="Arial" w:hAnsi="Arial"/>
                  <w:sz w:val="18"/>
                  <w:szCs w:val="18"/>
                  <w:color w:val="0000FF"/>
                  <w:w w:val="98"/>
                </w:rPr>
                <w:t>Security Systems,</w:t>
              </w:r>
            </w:hyperlink>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17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8"/>
              </w:rPr>
            </w:pPr>
            <w:hyperlink w:anchor="page108">
              <w:r>
                <w:rPr>
                  <w:rFonts w:ascii="Arial" w:cs="Arial" w:eastAsia="Arial" w:hAnsi="Arial"/>
                  <w:sz w:val="18"/>
                  <w:szCs w:val="18"/>
                  <w:color w:val="0000FF"/>
                  <w:w w:val="88"/>
                </w:rPr>
                <w:t>Inc. and Steven Fendley</w:t>
              </w:r>
            </w:hyperlink>
          </w:p>
        </w:tc>
        <w:tc>
          <w:tcPr>
            <w:tcW w:w="2280" w:type="dxa"/>
            <w:vAlign w:val="bottom"/>
            <w:tcBorders>
              <w:top w:val="single" w:sz="8" w:color="0000FF"/>
            </w:tcBorders>
            <w:gridSpan w:val="30"/>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400" w:type="dxa"/>
            <w:vAlign w:val="bottom"/>
          </w:tcPr>
          <w:p>
            <w:pPr>
              <w:spacing w:after="0"/>
              <w:rPr>
                <w:sz w:val="20"/>
                <w:szCs w:val="20"/>
                <w:color w:val="auto"/>
              </w:rPr>
            </w:pPr>
            <w:r>
              <w:rPr>
                <w:rFonts w:ascii="Arial" w:cs="Arial" w:eastAsia="Arial" w:hAnsi="Arial"/>
                <w:sz w:val="18"/>
                <w:szCs w:val="18"/>
                <w:color w:val="auto"/>
              </w:rPr>
              <w:t>21.1</w:t>
            </w:r>
          </w:p>
        </w:tc>
        <w:tc>
          <w:tcPr>
            <w:tcW w:w="4080" w:type="dxa"/>
            <w:vAlign w:val="bottom"/>
            <w:gridSpan w:val="39"/>
          </w:tcPr>
          <w:p>
            <w:pPr>
              <w:spacing w:after="0"/>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List of Subsidiaries.</w:t>
              </w:r>
            </w:hyperlink>
          </w:p>
        </w:tc>
        <w:tc>
          <w:tcPr>
            <w:tcW w:w="0" w:type="dxa"/>
            <w:vAlign w:val="bottom"/>
          </w:tcPr>
          <w:p>
            <w:pPr>
              <w:spacing w:after="0"/>
              <w:rPr>
                <w:sz w:val="1"/>
                <w:szCs w:val="1"/>
                <w:color w:val="auto"/>
              </w:rPr>
            </w:pPr>
          </w:p>
        </w:tc>
      </w:tr>
      <w:tr>
        <w:trPr>
          <w:trHeight w:val="190"/>
        </w:trPr>
        <w:tc>
          <w:tcPr>
            <w:tcW w:w="1400" w:type="dxa"/>
            <w:vAlign w:val="bottom"/>
          </w:tcPr>
          <w:p>
            <w:pPr>
              <w:spacing w:after="0" w:line="190" w:lineRule="exact"/>
              <w:rPr>
                <w:sz w:val="20"/>
                <w:szCs w:val="20"/>
                <w:color w:val="auto"/>
              </w:rPr>
            </w:pPr>
            <w:r>
              <w:rPr>
                <w:rFonts w:ascii="Arial" w:cs="Arial" w:eastAsia="Arial" w:hAnsi="Arial"/>
                <w:sz w:val="18"/>
                <w:szCs w:val="18"/>
                <w:color w:val="auto"/>
              </w:rPr>
              <w:t>23.1</w:t>
            </w:r>
          </w:p>
        </w:tc>
        <w:tc>
          <w:tcPr>
            <w:tcW w:w="4080" w:type="dxa"/>
            <w:vAlign w:val="bottom"/>
            <w:gridSpan w:val="39"/>
          </w:tcPr>
          <w:p>
            <w:pPr>
              <w:spacing w:after="0" w:line="190" w:lineRule="exact"/>
              <w:rPr>
                <w:rFonts w:ascii="Arial" w:cs="Arial" w:eastAsia="Arial" w:hAnsi="Arial"/>
                <w:sz w:val="18"/>
                <w:szCs w:val="18"/>
                <w:color w:val="0000FF"/>
                <w:w w:val="93"/>
              </w:rPr>
            </w:pPr>
            <w:hyperlink w:anchor="page123">
              <w:r>
                <w:rPr>
                  <w:rFonts w:ascii="Arial" w:cs="Arial" w:eastAsia="Arial" w:hAnsi="Arial"/>
                  <w:sz w:val="18"/>
                  <w:szCs w:val="18"/>
                  <w:color w:val="0000FF"/>
                  <w:w w:val="93"/>
                </w:rPr>
                <w:t>Consent of Independent Registered Public Accounting</w:t>
              </w:r>
            </w:hyperlink>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2"/>
              </w:rPr>
            </w:pPr>
            <w:hyperlink w:anchor="page123">
              <w:r>
                <w:rPr>
                  <w:rFonts w:ascii="Arial" w:cs="Arial" w:eastAsia="Arial" w:hAnsi="Arial"/>
                  <w:sz w:val="18"/>
                  <w:szCs w:val="18"/>
                  <w:color w:val="0000FF"/>
                  <w:w w:val="92"/>
                </w:rPr>
                <w:t>Firm.</w:t>
              </w:r>
            </w:hyperlink>
          </w:p>
        </w:tc>
        <w:tc>
          <w:tcPr>
            <w:tcW w:w="3580" w:type="dxa"/>
            <w:vAlign w:val="bottom"/>
            <w:tcBorders>
              <w:top w:val="single" w:sz="8" w:color="0000FF"/>
            </w:tcBorders>
            <w:gridSpan w:val="33"/>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00" w:type="dxa"/>
            <w:vAlign w:val="bottom"/>
          </w:tcPr>
          <w:p>
            <w:pPr>
              <w:spacing w:after="0"/>
              <w:rPr>
                <w:sz w:val="20"/>
                <w:szCs w:val="20"/>
                <w:color w:val="auto"/>
              </w:rPr>
            </w:pPr>
            <w:r>
              <w:rPr>
                <w:rFonts w:ascii="Arial" w:cs="Arial" w:eastAsia="Arial" w:hAnsi="Arial"/>
                <w:sz w:val="18"/>
                <w:szCs w:val="18"/>
                <w:color w:val="auto"/>
              </w:rPr>
              <w:t>31.1</w:t>
            </w:r>
          </w:p>
        </w:tc>
        <w:tc>
          <w:tcPr>
            <w:tcW w:w="4080" w:type="dxa"/>
            <w:vAlign w:val="bottom"/>
            <w:gridSpan w:val="39"/>
          </w:tcPr>
          <w:p>
            <w:pPr>
              <w:spacing w:after="0"/>
              <w:rPr>
                <w:rFonts w:ascii="Arial" w:cs="Arial" w:eastAsia="Arial" w:hAnsi="Arial"/>
                <w:sz w:val="18"/>
                <w:szCs w:val="18"/>
                <w:color w:val="0000FF"/>
              </w:rPr>
            </w:pPr>
            <w:hyperlink w:anchor="page124">
              <w:r>
                <w:rPr>
                  <w:rFonts w:ascii="Arial" w:cs="Arial" w:eastAsia="Arial" w:hAnsi="Arial"/>
                  <w:sz w:val="18"/>
                  <w:szCs w:val="18"/>
                  <w:color w:val="0000FF"/>
                </w:rPr>
                <w:t>Certification of Chief Executive Officer pursuant to</w:t>
              </w:r>
            </w:hyperlink>
          </w:p>
        </w:tc>
        <w:tc>
          <w:tcPr>
            <w:tcW w:w="0" w:type="dxa"/>
            <w:vAlign w:val="bottom"/>
          </w:tcPr>
          <w:p>
            <w:pPr>
              <w:spacing w:after="0"/>
              <w:rPr>
                <w:sz w:val="1"/>
                <w:szCs w:val="1"/>
                <w:color w:val="auto"/>
              </w:rPr>
            </w:pPr>
          </w:p>
        </w:tc>
      </w:tr>
      <w:tr>
        <w:trPr>
          <w:trHeight w:val="195"/>
        </w:trPr>
        <w:tc>
          <w:tcPr>
            <w:tcW w:w="1400" w:type="dxa"/>
            <w:vAlign w:val="bottom"/>
          </w:tcPr>
          <w:p>
            <w:pPr>
              <w:spacing w:after="0"/>
              <w:rPr>
                <w:sz w:val="16"/>
                <w:szCs w:val="16"/>
                <w:color w:val="auto"/>
              </w:rPr>
            </w:pPr>
          </w:p>
        </w:tc>
        <w:tc>
          <w:tcPr>
            <w:tcW w:w="3760" w:type="dxa"/>
            <w:vAlign w:val="bottom"/>
            <w:tcBorders>
              <w:top w:val="single" w:sz="8" w:color="0000FF"/>
            </w:tcBorders>
            <w:gridSpan w:val="23"/>
          </w:tcPr>
          <w:p>
            <w:pPr>
              <w:spacing w:after="0" w:line="195" w:lineRule="exact"/>
              <w:rPr>
                <w:rFonts w:ascii="Arial" w:cs="Arial" w:eastAsia="Arial" w:hAnsi="Arial"/>
                <w:sz w:val="18"/>
                <w:szCs w:val="18"/>
                <w:u w:val="single" w:color="auto"/>
                <w:color w:val="0000FF"/>
                <w:w w:val="98"/>
              </w:rPr>
            </w:pPr>
            <w:hyperlink w:anchor="page124">
              <w:r>
                <w:rPr>
                  <w:rFonts w:ascii="Arial" w:cs="Arial" w:eastAsia="Arial" w:hAnsi="Arial"/>
                  <w:sz w:val="18"/>
                  <w:szCs w:val="18"/>
                  <w:u w:val="single" w:color="auto"/>
                  <w:color w:val="0000FF"/>
                  <w:w w:val="98"/>
                </w:rPr>
                <w:t>Section 302 of the Sarbanes Oxley Act of 2002.</w:t>
              </w:r>
            </w:hyperlink>
          </w:p>
        </w:tc>
        <w:tc>
          <w:tcPr>
            <w:tcW w:w="320" w:type="dxa"/>
            <w:vAlign w:val="bottom"/>
            <w:gridSpan w:val="16"/>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00" w:type="dxa"/>
            <w:vAlign w:val="bottom"/>
          </w:tcPr>
          <w:p>
            <w:pPr>
              <w:spacing w:after="0" w:line="190" w:lineRule="exact"/>
              <w:rPr>
                <w:sz w:val="20"/>
                <w:szCs w:val="20"/>
                <w:color w:val="auto"/>
              </w:rPr>
            </w:pPr>
            <w:r>
              <w:rPr>
                <w:rFonts w:ascii="Arial" w:cs="Arial" w:eastAsia="Arial" w:hAnsi="Arial"/>
                <w:sz w:val="18"/>
                <w:szCs w:val="18"/>
                <w:color w:val="auto"/>
              </w:rPr>
              <w:t>31.2</w:t>
            </w:r>
          </w:p>
        </w:tc>
        <w:tc>
          <w:tcPr>
            <w:tcW w:w="4080" w:type="dxa"/>
            <w:vAlign w:val="bottom"/>
            <w:gridSpan w:val="39"/>
          </w:tcPr>
          <w:p>
            <w:pPr>
              <w:spacing w:after="0" w:line="190" w:lineRule="exact"/>
              <w:rPr>
                <w:rFonts w:ascii="Arial" w:cs="Arial" w:eastAsia="Arial" w:hAnsi="Arial"/>
                <w:sz w:val="18"/>
                <w:szCs w:val="18"/>
                <w:color w:val="0000FF"/>
              </w:rPr>
            </w:pPr>
            <w:hyperlink w:anchor="page125">
              <w:r>
                <w:rPr>
                  <w:rFonts w:ascii="Arial" w:cs="Arial" w:eastAsia="Arial" w:hAnsi="Arial"/>
                  <w:sz w:val="18"/>
                  <w:szCs w:val="18"/>
                  <w:color w:val="0000FF"/>
                </w:rPr>
                <w:t>Certification of Chief Financial Officer pursuant to</w:t>
              </w:r>
            </w:hyperlink>
          </w:p>
        </w:tc>
        <w:tc>
          <w:tcPr>
            <w:tcW w:w="0" w:type="dxa"/>
            <w:vAlign w:val="bottom"/>
          </w:tcPr>
          <w:p>
            <w:pPr>
              <w:spacing w:after="0"/>
              <w:rPr>
                <w:sz w:val="1"/>
                <w:szCs w:val="1"/>
                <w:color w:val="auto"/>
              </w:rPr>
            </w:pPr>
          </w:p>
        </w:tc>
      </w:tr>
      <w:tr>
        <w:trPr>
          <w:trHeight w:val="224"/>
        </w:trPr>
        <w:tc>
          <w:tcPr>
            <w:tcW w:w="1400" w:type="dxa"/>
            <w:vAlign w:val="bottom"/>
          </w:tcPr>
          <w:p>
            <w:pPr>
              <w:spacing w:after="0"/>
              <w:rPr>
                <w:sz w:val="19"/>
                <w:szCs w:val="19"/>
                <w:color w:val="auto"/>
              </w:rPr>
            </w:pPr>
          </w:p>
        </w:tc>
        <w:tc>
          <w:tcPr>
            <w:tcW w:w="3700" w:type="dxa"/>
            <w:vAlign w:val="bottom"/>
            <w:tcBorders>
              <w:top w:val="single" w:sz="8" w:color="0000FF"/>
            </w:tcBorders>
            <w:gridSpan w:val="20"/>
          </w:tcPr>
          <w:p>
            <w:pPr>
              <w:spacing w:after="0"/>
              <w:rPr>
                <w:rFonts w:ascii="Arial" w:cs="Arial" w:eastAsia="Arial" w:hAnsi="Arial"/>
                <w:sz w:val="18"/>
                <w:szCs w:val="18"/>
                <w:u w:val="single" w:color="auto"/>
                <w:color w:val="0000FF"/>
                <w:w w:val="97"/>
              </w:rPr>
            </w:pPr>
            <w:hyperlink w:anchor="page125">
              <w:r>
                <w:rPr>
                  <w:rFonts w:ascii="Arial" w:cs="Arial" w:eastAsia="Arial" w:hAnsi="Arial"/>
                  <w:sz w:val="18"/>
                  <w:szCs w:val="18"/>
                  <w:u w:val="single" w:color="auto"/>
                  <w:color w:val="0000FF"/>
                  <w:w w:val="97"/>
                </w:rPr>
                <w:t>Section 302 of the Sarbanes Oxley Act of 2002.</w:t>
              </w:r>
            </w:hyperlink>
          </w:p>
        </w:tc>
        <w:tc>
          <w:tcPr>
            <w:tcW w:w="380" w:type="dxa"/>
            <w:vAlign w:val="bottom"/>
            <w:gridSpan w:val="19"/>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760" w:type="dxa"/>
            <w:vAlign w:val="bottom"/>
            <w:vMerge w:val="restart"/>
          </w:tcPr>
          <w:p>
            <w:pPr>
              <w:jc w:val="center"/>
              <w:ind w:right="310"/>
              <w:spacing w:after="0"/>
              <w:rPr>
                <w:sz w:val="20"/>
                <w:szCs w:val="20"/>
                <w:color w:val="auto"/>
              </w:rPr>
            </w:pPr>
            <w:r>
              <w:rPr>
                <w:rFonts w:ascii="Arial" w:cs="Arial" w:eastAsia="Arial" w:hAnsi="Arial"/>
                <w:sz w:val="18"/>
                <w:szCs w:val="18"/>
                <w:color w:val="auto"/>
                <w:w w:val="94"/>
              </w:rPr>
              <w:t>10-K</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02/24/2020</w:t>
            </w:r>
          </w:p>
        </w:tc>
        <w:tc>
          <w:tcPr>
            <w:tcW w:w="800" w:type="dxa"/>
            <w:vAlign w:val="bottom"/>
            <w:vMerge w:val="restart"/>
          </w:tcPr>
          <w:p>
            <w:pPr>
              <w:jc w:val="center"/>
              <w:ind w:left="310"/>
              <w:spacing w:after="0"/>
              <w:rPr>
                <w:sz w:val="20"/>
                <w:szCs w:val="20"/>
                <w:color w:val="auto"/>
              </w:rPr>
            </w:pPr>
            <w:r>
              <w:rPr>
                <w:rFonts w:ascii="Arial" w:cs="Arial" w:eastAsia="Arial" w:hAnsi="Arial"/>
                <w:sz w:val="18"/>
                <w:szCs w:val="18"/>
                <w:color w:val="auto"/>
                <w:w w:val="88"/>
              </w:rPr>
              <w:t>10.15</w:t>
            </w:r>
          </w:p>
        </w:tc>
        <w:tc>
          <w:tcPr>
            <w:tcW w:w="0" w:type="dxa"/>
            <w:vAlign w:val="bottom"/>
          </w:tcPr>
          <w:p>
            <w:pPr>
              <w:spacing w:after="0"/>
              <w:rPr>
                <w:sz w:val="1"/>
                <w:szCs w:val="1"/>
                <w:color w:val="auto"/>
              </w:rPr>
            </w:pPr>
          </w:p>
        </w:tc>
      </w:tr>
      <w:tr>
        <w:trPr>
          <w:trHeight w:val="230"/>
        </w:trPr>
        <w:tc>
          <w:tcPr>
            <w:tcW w:w="760" w:type="dxa"/>
            <w:vAlign w:val="bottom"/>
            <w:vMerge w:val="continue"/>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(01-34460)</w:t>
            </w: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760" w:type="dxa"/>
            <w:vAlign w:val="bottom"/>
            <w:vMerge w:val="restart"/>
          </w:tcPr>
          <w:p>
            <w:pPr>
              <w:jc w:val="center"/>
              <w:ind w:right="310"/>
              <w:spacing w:after="0"/>
              <w:rPr>
                <w:sz w:val="20"/>
                <w:szCs w:val="20"/>
                <w:color w:val="auto"/>
              </w:rPr>
            </w:pPr>
            <w:r>
              <w:rPr>
                <w:rFonts w:ascii="Arial" w:cs="Arial" w:eastAsia="Arial" w:hAnsi="Arial"/>
                <w:sz w:val="18"/>
                <w:szCs w:val="18"/>
                <w:color w:val="auto"/>
                <w:w w:val="89"/>
              </w:rPr>
              <w:t>10-Q</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08/04/2011</w:t>
            </w:r>
          </w:p>
        </w:tc>
        <w:tc>
          <w:tcPr>
            <w:tcW w:w="800" w:type="dxa"/>
            <w:vAlign w:val="bottom"/>
            <w:vMerge w:val="restart"/>
          </w:tcPr>
          <w:p>
            <w:pPr>
              <w:jc w:val="center"/>
              <w:ind w:left="310"/>
              <w:spacing w:after="0"/>
              <w:rPr>
                <w:sz w:val="20"/>
                <w:szCs w:val="20"/>
                <w:color w:val="auto"/>
              </w:rPr>
            </w:pPr>
            <w:r>
              <w:rPr>
                <w:rFonts w:ascii="Arial" w:cs="Arial" w:eastAsia="Arial" w:hAnsi="Arial"/>
                <w:sz w:val="18"/>
                <w:szCs w:val="18"/>
                <w:color w:val="auto"/>
                <w:w w:val="91"/>
              </w:rPr>
              <w:t>10.3</w:t>
            </w:r>
          </w:p>
        </w:tc>
        <w:tc>
          <w:tcPr>
            <w:tcW w:w="0" w:type="dxa"/>
            <w:vAlign w:val="bottom"/>
          </w:tcPr>
          <w:p>
            <w:pPr>
              <w:spacing w:after="0"/>
              <w:rPr>
                <w:sz w:val="1"/>
                <w:szCs w:val="1"/>
                <w:color w:val="auto"/>
              </w:rPr>
            </w:pPr>
          </w:p>
        </w:tc>
      </w:tr>
      <w:tr>
        <w:trPr>
          <w:trHeight w:val="230"/>
        </w:trPr>
        <w:tc>
          <w:tcPr>
            <w:tcW w:w="760" w:type="dxa"/>
            <w:vAlign w:val="bottom"/>
            <w:vMerge w:val="continue"/>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760" w:type="dxa"/>
            <w:vAlign w:val="bottom"/>
            <w:vMerge w:val="restart"/>
          </w:tcPr>
          <w:p>
            <w:pPr>
              <w:jc w:val="center"/>
              <w:ind w:right="310"/>
              <w:spacing w:after="0"/>
              <w:rPr>
                <w:sz w:val="20"/>
                <w:szCs w:val="20"/>
                <w:color w:val="auto"/>
              </w:rPr>
            </w:pPr>
            <w:r>
              <w:rPr>
                <w:rFonts w:ascii="Arial" w:cs="Arial" w:eastAsia="Arial" w:hAnsi="Arial"/>
                <w:sz w:val="18"/>
                <w:szCs w:val="18"/>
                <w:color w:val="auto"/>
                <w:w w:val="89"/>
              </w:rPr>
              <w:t>10-Q</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08/04/2011</w:t>
            </w:r>
          </w:p>
        </w:tc>
        <w:tc>
          <w:tcPr>
            <w:tcW w:w="800" w:type="dxa"/>
            <w:vAlign w:val="bottom"/>
            <w:vMerge w:val="restart"/>
          </w:tcPr>
          <w:p>
            <w:pPr>
              <w:jc w:val="center"/>
              <w:ind w:left="310"/>
              <w:spacing w:after="0"/>
              <w:rPr>
                <w:sz w:val="20"/>
                <w:szCs w:val="20"/>
                <w:color w:val="auto"/>
              </w:rPr>
            </w:pPr>
            <w:r>
              <w:rPr>
                <w:rFonts w:ascii="Arial" w:cs="Arial" w:eastAsia="Arial" w:hAnsi="Arial"/>
                <w:sz w:val="18"/>
                <w:szCs w:val="18"/>
                <w:color w:val="auto"/>
                <w:w w:val="91"/>
              </w:rPr>
              <w:t>10.4</w:t>
            </w:r>
          </w:p>
        </w:tc>
        <w:tc>
          <w:tcPr>
            <w:tcW w:w="0" w:type="dxa"/>
            <w:vAlign w:val="bottom"/>
          </w:tcPr>
          <w:p>
            <w:pPr>
              <w:spacing w:after="0"/>
              <w:rPr>
                <w:sz w:val="1"/>
                <w:szCs w:val="1"/>
                <w:color w:val="auto"/>
              </w:rPr>
            </w:pPr>
          </w:p>
        </w:tc>
      </w:tr>
      <w:tr>
        <w:trPr>
          <w:trHeight w:val="230"/>
        </w:trPr>
        <w:tc>
          <w:tcPr>
            <w:tcW w:w="760" w:type="dxa"/>
            <w:vAlign w:val="bottom"/>
            <w:vMerge w:val="continue"/>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77"/>
        </w:trPr>
        <w:tc>
          <w:tcPr>
            <w:tcW w:w="760" w:type="dxa"/>
            <w:vAlign w:val="bottom"/>
            <w:vMerge w:val="restart"/>
          </w:tcPr>
          <w:p>
            <w:pPr>
              <w:jc w:val="center"/>
              <w:ind w:right="310"/>
              <w:spacing w:after="0"/>
              <w:rPr>
                <w:sz w:val="20"/>
                <w:szCs w:val="20"/>
                <w:color w:val="auto"/>
              </w:rPr>
            </w:pPr>
            <w:r>
              <w:rPr>
                <w:rFonts w:ascii="Arial" w:cs="Arial" w:eastAsia="Arial" w:hAnsi="Arial"/>
                <w:sz w:val="18"/>
                <w:szCs w:val="18"/>
                <w:color w:val="auto"/>
                <w:w w:val="99"/>
              </w:rPr>
              <w:t>8-K</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11/21/2017</w:t>
            </w:r>
          </w:p>
        </w:tc>
        <w:tc>
          <w:tcPr>
            <w:tcW w:w="800" w:type="dxa"/>
            <w:vAlign w:val="bottom"/>
            <w:vMerge w:val="restart"/>
          </w:tcPr>
          <w:p>
            <w:pPr>
              <w:jc w:val="center"/>
              <w:ind w:left="310"/>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230"/>
        </w:trPr>
        <w:tc>
          <w:tcPr>
            <w:tcW w:w="760" w:type="dxa"/>
            <w:vAlign w:val="bottom"/>
            <w:vMerge w:val="continue"/>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700"/>
        </w:trPr>
        <w:tc>
          <w:tcPr>
            <w:tcW w:w="7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06/13/2018</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jc w:val="center"/>
              <w:ind w:right="310"/>
              <w:spacing w:after="0"/>
              <w:rPr>
                <w:sz w:val="20"/>
                <w:szCs w:val="20"/>
                <w:color w:val="auto"/>
              </w:rPr>
            </w:pPr>
            <w:r>
              <w:rPr>
                <w:rFonts w:ascii="Arial" w:cs="Arial" w:eastAsia="Arial" w:hAnsi="Arial"/>
                <w:sz w:val="18"/>
                <w:szCs w:val="18"/>
                <w:color w:val="auto"/>
                <w:w w:val="99"/>
              </w:rPr>
              <w:t>8-K</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350"/>
        </w:trPr>
        <w:tc>
          <w:tcPr>
            <w:tcW w:w="7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05/04/2017</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jc w:val="center"/>
              <w:ind w:right="310"/>
              <w:spacing w:after="0"/>
              <w:rPr>
                <w:sz w:val="20"/>
                <w:szCs w:val="20"/>
                <w:color w:val="auto"/>
              </w:rPr>
            </w:pPr>
            <w:r>
              <w:rPr>
                <w:rFonts w:ascii="Arial" w:cs="Arial" w:eastAsia="Arial" w:hAnsi="Arial"/>
                <w:sz w:val="18"/>
                <w:szCs w:val="18"/>
                <w:color w:val="auto"/>
                <w:w w:val="89"/>
              </w:rPr>
              <w:t>10-Q</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91"/>
              </w:rPr>
              <w:t>10.2</w:t>
            </w:r>
          </w:p>
        </w:tc>
        <w:tc>
          <w:tcPr>
            <w:tcW w:w="0" w:type="dxa"/>
            <w:vAlign w:val="bottom"/>
          </w:tcPr>
          <w:p>
            <w:pPr>
              <w:spacing w:after="0"/>
              <w:rPr>
                <w:sz w:val="1"/>
                <w:szCs w:val="1"/>
                <w:color w:val="auto"/>
              </w:rPr>
            </w:pPr>
          </w:p>
        </w:tc>
      </w:tr>
      <w:tr>
        <w:trPr>
          <w:trHeight w:val="418"/>
        </w:trPr>
        <w:tc>
          <w:tcPr>
            <w:tcW w:w="7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02/28/2019</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jc w:val="center"/>
              <w:ind w:right="310"/>
              <w:spacing w:after="0"/>
              <w:rPr>
                <w:sz w:val="20"/>
                <w:szCs w:val="20"/>
                <w:color w:val="auto"/>
              </w:rPr>
            </w:pPr>
            <w:r>
              <w:rPr>
                <w:rFonts w:ascii="Arial" w:cs="Arial" w:eastAsia="Arial" w:hAnsi="Arial"/>
                <w:sz w:val="18"/>
                <w:szCs w:val="18"/>
                <w:color w:val="auto"/>
                <w:w w:val="94"/>
              </w:rPr>
              <w:t>10-K</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88"/>
              </w:rPr>
              <w:t>10.34</w:t>
            </w:r>
          </w:p>
        </w:tc>
        <w:tc>
          <w:tcPr>
            <w:tcW w:w="0" w:type="dxa"/>
            <w:vAlign w:val="bottom"/>
          </w:tcPr>
          <w:p>
            <w:pPr>
              <w:spacing w:after="0"/>
              <w:rPr>
                <w:sz w:val="1"/>
                <w:szCs w:val="1"/>
                <w:color w:val="auto"/>
              </w:rPr>
            </w:pPr>
          </w:p>
        </w:tc>
      </w:tr>
      <w:tr>
        <w:trPr>
          <w:trHeight w:val="701"/>
        </w:trPr>
        <w:tc>
          <w:tcPr>
            <w:tcW w:w="7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05/08/2019</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jc w:val="center"/>
              <w:ind w:right="310"/>
              <w:spacing w:after="0"/>
              <w:rPr>
                <w:sz w:val="20"/>
                <w:szCs w:val="20"/>
                <w:color w:val="auto"/>
              </w:rPr>
            </w:pPr>
            <w:r>
              <w:rPr>
                <w:rFonts w:ascii="Arial" w:cs="Arial" w:eastAsia="Arial" w:hAnsi="Arial"/>
                <w:sz w:val="18"/>
                <w:szCs w:val="18"/>
                <w:color w:val="auto"/>
                <w:w w:val="89"/>
              </w:rPr>
              <w:t>10-Q</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91"/>
              </w:rPr>
              <w:t>10.2</w:t>
            </w:r>
          </w:p>
        </w:tc>
        <w:tc>
          <w:tcPr>
            <w:tcW w:w="0" w:type="dxa"/>
            <w:vAlign w:val="bottom"/>
          </w:tcPr>
          <w:p>
            <w:pPr>
              <w:spacing w:after="0"/>
              <w:rPr>
                <w:sz w:val="1"/>
                <w:szCs w:val="1"/>
                <w:color w:val="auto"/>
              </w:rPr>
            </w:pPr>
          </w:p>
        </w:tc>
      </w:tr>
      <w:tr>
        <w:trPr>
          <w:trHeight w:val="593"/>
        </w:trPr>
        <w:tc>
          <w:tcPr>
            <w:tcW w:w="7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07/31/2019</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jc w:val="center"/>
              <w:ind w:right="310"/>
              <w:spacing w:after="0"/>
              <w:rPr>
                <w:sz w:val="20"/>
                <w:szCs w:val="20"/>
                <w:color w:val="auto"/>
              </w:rPr>
            </w:pPr>
            <w:r>
              <w:rPr>
                <w:rFonts w:ascii="Arial" w:cs="Arial" w:eastAsia="Arial" w:hAnsi="Arial"/>
                <w:sz w:val="18"/>
                <w:szCs w:val="18"/>
                <w:color w:val="auto"/>
                <w:w w:val="89"/>
              </w:rPr>
              <w:t>10-Q</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350"/>
        </w:trPr>
        <w:tc>
          <w:tcPr>
            <w:tcW w:w="7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05/7/2020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jc w:val="center"/>
              <w:ind w:right="310"/>
              <w:spacing w:after="0"/>
              <w:rPr>
                <w:sz w:val="20"/>
                <w:szCs w:val="20"/>
                <w:color w:val="auto"/>
              </w:rPr>
            </w:pPr>
            <w:r>
              <w:rPr>
                <w:rFonts w:ascii="Arial" w:cs="Arial" w:eastAsia="Arial" w:hAnsi="Arial"/>
                <w:sz w:val="18"/>
                <w:szCs w:val="18"/>
                <w:color w:val="auto"/>
                <w:w w:val="89"/>
              </w:rPr>
              <w:t>10-Q</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91"/>
              </w:rPr>
              <w:t>10.2</w:t>
            </w: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w:t>
      </w:r>
    </w:p>
    <w:p>
      <w:pPr>
        <w:spacing w:after="0" w:line="197"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w:t>
      </w:r>
    </w:p>
    <w:p>
      <w:pPr>
        <w:sectPr>
          <w:pgSz w:w="11900" w:h="16838" w:orient="portrait"/>
          <w:cols w:equalWidth="0" w:num="2">
            <w:col w:w="5700" w:space="280"/>
            <w:col w:w="4139"/>
          </w:cols>
          <w:pgMar w:left="340" w:top="1013" w:right="1440" w:bottom="1440" w:gutter="0" w:footer="0" w:header="0"/>
        </w:sectPr>
      </w:pPr>
    </w:p>
    <w:bookmarkStart w:id="63" w:name="page64"/>
    <w:bookmarkEnd w:id="63"/>
    <w:tbl>
      <w:tblPr>
        <w:tblLayout w:type="fixed"/>
        <w:tblInd w:w="2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auto"/>
              </w:rPr>
              <w:t>32.1</w:t>
            </w:r>
          </w:p>
        </w:tc>
        <w:tc>
          <w:tcPr>
            <w:tcW w:w="3760" w:type="dxa"/>
            <w:vAlign w:val="bottom"/>
            <w:tcBorders>
              <w:bottom w:val="single" w:sz="8" w:color="0000FF"/>
            </w:tcBorders>
            <w:gridSpan w:val="11"/>
          </w:tcPr>
          <w:p>
            <w:pPr>
              <w:ind w:left="20"/>
              <w:spacing w:after="0"/>
              <w:rPr>
                <w:rFonts w:ascii="Arial" w:cs="Arial" w:eastAsia="Arial" w:hAnsi="Arial"/>
                <w:sz w:val="18"/>
                <w:szCs w:val="18"/>
                <w:color w:val="0000FF"/>
                <w:w w:val="90"/>
              </w:rPr>
            </w:pPr>
            <w:hyperlink w:anchor="page126">
              <w:r>
                <w:rPr>
                  <w:rFonts w:ascii="Arial" w:cs="Arial" w:eastAsia="Arial" w:hAnsi="Arial"/>
                  <w:sz w:val="18"/>
                  <w:szCs w:val="18"/>
                  <w:color w:val="0000FF"/>
                  <w:w w:val="90"/>
                </w:rPr>
                <w:t>Certification pursuant to 18 U.S.C. Section 1350, as</w:t>
              </w:r>
            </w:hyperlink>
          </w:p>
        </w:tc>
        <w:tc>
          <w:tcPr>
            <w:tcW w:w="2440" w:type="dxa"/>
            <w:vAlign w:val="bottom"/>
            <w:gridSpan w:val="3"/>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6200" w:type="dxa"/>
            <w:vAlign w:val="bottom"/>
            <w:gridSpan w:val="14"/>
          </w:tcPr>
          <w:p>
            <w:pPr>
              <w:ind w:left="20"/>
              <w:spacing w:after="0" w:line="156" w:lineRule="exact"/>
              <w:rPr>
                <w:rFonts w:ascii="Arial" w:cs="Arial" w:eastAsia="Arial" w:hAnsi="Arial"/>
                <w:sz w:val="18"/>
                <w:szCs w:val="18"/>
                <w:color w:val="0000FF"/>
              </w:rPr>
            </w:pPr>
            <w:hyperlink w:anchor="page126">
              <w:r>
                <w:rPr>
                  <w:rFonts w:ascii="Arial" w:cs="Arial" w:eastAsia="Arial" w:hAnsi="Arial"/>
                  <w:sz w:val="18"/>
                  <w:szCs w:val="18"/>
                  <w:color w:val="0000FF"/>
                </w:rPr>
                <w:t>adopted pursuant to Section 906 of the Sarbanes-Oxley</w:t>
              </w:r>
            </w:hyperlink>
          </w:p>
        </w:tc>
        <w:tc>
          <w:tcPr>
            <w:tcW w:w="2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4000" w:type="dxa"/>
            <w:vAlign w:val="bottom"/>
            <w:tcBorders>
              <w:top w:val="single" w:sz="8" w:color="0000FF"/>
            </w:tcBorders>
            <w:gridSpan w:val="13"/>
          </w:tcPr>
          <w:p>
            <w:pPr>
              <w:ind w:left="20"/>
              <w:spacing w:after="0" w:line="156" w:lineRule="exact"/>
              <w:rPr>
                <w:rFonts w:ascii="Arial" w:cs="Arial" w:eastAsia="Arial" w:hAnsi="Arial"/>
                <w:sz w:val="18"/>
                <w:szCs w:val="18"/>
                <w:color w:val="0000FF"/>
              </w:rPr>
            </w:pPr>
            <w:hyperlink w:anchor="page126">
              <w:r>
                <w:rPr>
                  <w:rFonts w:ascii="Arial" w:cs="Arial" w:eastAsia="Arial" w:hAnsi="Arial"/>
                  <w:sz w:val="18"/>
                  <w:szCs w:val="18"/>
                  <w:color w:val="0000FF"/>
                </w:rPr>
                <w:t>Act of 2002 for Eric M. DeMarco.</w:t>
              </w:r>
            </w:hyperlink>
          </w:p>
        </w:tc>
        <w:tc>
          <w:tcPr>
            <w:tcW w:w="220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spacing w:after="0"/>
              <w:rPr>
                <w:sz w:val="20"/>
                <w:szCs w:val="20"/>
                <w:color w:val="auto"/>
              </w:rPr>
            </w:pPr>
            <w:r>
              <w:rPr>
                <w:rFonts w:ascii="Arial" w:cs="Arial" w:eastAsia="Arial" w:hAnsi="Arial"/>
                <w:sz w:val="18"/>
                <w:szCs w:val="18"/>
                <w:color w:val="auto"/>
              </w:rPr>
              <w:t>32.2</w:t>
            </w:r>
          </w:p>
        </w:tc>
        <w:tc>
          <w:tcPr>
            <w:tcW w:w="3760" w:type="dxa"/>
            <w:vAlign w:val="bottom"/>
            <w:tcBorders>
              <w:bottom w:val="single" w:sz="8" w:color="0000FF"/>
            </w:tcBorders>
            <w:gridSpan w:val="11"/>
          </w:tcPr>
          <w:p>
            <w:pPr>
              <w:ind w:left="20"/>
              <w:spacing w:after="0"/>
              <w:rPr>
                <w:rFonts w:ascii="Arial" w:cs="Arial" w:eastAsia="Arial" w:hAnsi="Arial"/>
                <w:sz w:val="18"/>
                <w:szCs w:val="18"/>
                <w:color w:val="0000FF"/>
                <w:w w:val="90"/>
              </w:rPr>
            </w:pPr>
            <w:hyperlink w:anchor="page127">
              <w:r>
                <w:rPr>
                  <w:rFonts w:ascii="Arial" w:cs="Arial" w:eastAsia="Arial" w:hAnsi="Arial"/>
                  <w:sz w:val="18"/>
                  <w:szCs w:val="18"/>
                  <w:color w:val="0000FF"/>
                  <w:w w:val="90"/>
                </w:rPr>
                <w:t>Certification pursuant to 18 U.S.C. Section 1350, as</w:t>
              </w:r>
            </w:hyperlink>
          </w:p>
        </w:tc>
        <w:tc>
          <w:tcPr>
            <w:tcW w:w="2440" w:type="dxa"/>
            <w:vAlign w:val="bottom"/>
            <w:gridSpan w:val="3"/>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6200" w:type="dxa"/>
            <w:vAlign w:val="bottom"/>
            <w:gridSpan w:val="14"/>
          </w:tcPr>
          <w:p>
            <w:pPr>
              <w:ind w:left="20"/>
              <w:spacing w:after="0" w:line="156" w:lineRule="exact"/>
              <w:rPr>
                <w:rFonts w:ascii="Arial" w:cs="Arial" w:eastAsia="Arial" w:hAnsi="Arial"/>
                <w:sz w:val="18"/>
                <w:szCs w:val="18"/>
                <w:color w:val="0000FF"/>
              </w:rPr>
            </w:pPr>
            <w:hyperlink w:anchor="page127">
              <w:r>
                <w:rPr>
                  <w:rFonts w:ascii="Arial" w:cs="Arial" w:eastAsia="Arial" w:hAnsi="Arial"/>
                  <w:sz w:val="18"/>
                  <w:szCs w:val="18"/>
                  <w:color w:val="0000FF"/>
                </w:rPr>
                <w:t>adopted pursuant to Section 906 of the Sarbanes-Oxley</w:t>
              </w:r>
            </w:hyperlink>
          </w:p>
        </w:tc>
        <w:tc>
          <w:tcPr>
            <w:tcW w:w="2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4000" w:type="dxa"/>
            <w:vAlign w:val="bottom"/>
            <w:tcBorders>
              <w:top w:val="single" w:sz="8" w:color="0000FF"/>
            </w:tcBorders>
            <w:gridSpan w:val="13"/>
          </w:tcPr>
          <w:p>
            <w:pPr>
              <w:ind w:left="20"/>
              <w:spacing w:after="0" w:line="156" w:lineRule="exact"/>
              <w:rPr>
                <w:rFonts w:ascii="Arial" w:cs="Arial" w:eastAsia="Arial" w:hAnsi="Arial"/>
                <w:sz w:val="18"/>
                <w:szCs w:val="18"/>
                <w:color w:val="0000FF"/>
              </w:rPr>
            </w:pPr>
            <w:hyperlink w:anchor="page127">
              <w:r>
                <w:rPr>
                  <w:rFonts w:ascii="Arial" w:cs="Arial" w:eastAsia="Arial" w:hAnsi="Arial"/>
                  <w:sz w:val="18"/>
                  <w:szCs w:val="18"/>
                  <w:color w:val="0000FF"/>
                </w:rPr>
                <w:t>Act of 2002 for Deanna Lund.</w:t>
              </w:r>
            </w:hyperlink>
          </w:p>
        </w:tc>
        <w:tc>
          <w:tcPr>
            <w:tcW w:w="220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tcPr>
          <w:p>
            <w:pPr>
              <w:spacing w:after="0"/>
              <w:rPr>
                <w:sz w:val="20"/>
                <w:szCs w:val="20"/>
                <w:color w:val="auto"/>
              </w:rPr>
            </w:pPr>
            <w:r>
              <w:rPr>
                <w:rFonts w:ascii="Arial" w:cs="Arial" w:eastAsia="Arial" w:hAnsi="Arial"/>
                <w:sz w:val="18"/>
                <w:szCs w:val="18"/>
                <w:color w:val="auto"/>
              </w:rPr>
              <w:t>101.INS</w:t>
            </w:r>
          </w:p>
        </w:tc>
        <w:tc>
          <w:tcPr>
            <w:tcW w:w="6200" w:type="dxa"/>
            <w:vAlign w:val="bottom"/>
            <w:gridSpan w:val="14"/>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XBRL Instance Document-the instance document does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3980" w:type="dxa"/>
            <w:vAlign w:val="bottom"/>
            <w:tcBorders>
              <w:top w:val="single" w:sz="8" w:color="0000FF"/>
            </w:tcBorders>
            <w:gridSpan w:val="12"/>
          </w:tcPr>
          <w:p>
            <w:pPr>
              <w:ind w:left="20"/>
              <w:spacing w:after="0" w:line="156"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not appear in the Interactive Data File because its</w:t>
              </w:r>
            </w:hyperlink>
          </w:p>
        </w:tc>
        <w:tc>
          <w:tcPr>
            <w:tcW w:w="2220" w:type="dxa"/>
            <w:vAlign w:val="bottom"/>
            <w:gridSpan w:val="2"/>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3580" w:type="dxa"/>
            <w:vAlign w:val="bottom"/>
            <w:tcBorders>
              <w:top w:val="single" w:sz="8" w:color="0000FF"/>
              <w:bottom w:val="single" w:sz="8" w:color="0000FF"/>
            </w:tcBorders>
            <w:gridSpan w:val="7"/>
          </w:tcPr>
          <w:p>
            <w:pPr>
              <w:ind w:left="20"/>
              <w:spacing w:after="0" w:line="156" w:lineRule="exact"/>
              <w:rPr>
                <w:rFonts w:ascii="Arial" w:cs="Arial" w:eastAsia="Arial" w:hAnsi="Arial"/>
                <w:sz w:val="18"/>
                <w:szCs w:val="18"/>
                <w:color w:val="0000FF"/>
                <w:w w:val="91"/>
              </w:rPr>
            </w:pPr>
            <w:hyperlink w:anchor="page3">
              <w:r>
                <w:rPr>
                  <w:rFonts w:ascii="Arial" w:cs="Arial" w:eastAsia="Arial" w:hAnsi="Arial"/>
                  <w:sz w:val="18"/>
                  <w:szCs w:val="18"/>
                  <w:color w:val="0000FF"/>
                  <w:w w:val="91"/>
                </w:rPr>
                <w:t>XBRL tags are embedded within the Inline XBRL</w:t>
              </w:r>
            </w:hyperlink>
          </w:p>
        </w:tc>
        <w:tc>
          <w:tcPr>
            <w:tcW w:w="6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4"/>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720" w:type="dxa"/>
            <w:vAlign w:val="bottom"/>
            <w:tcBorders>
              <w:bottom w:val="single" w:sz="8" w:color="0000FF"/>
            </w:tcBorders>
          </w:tcPr>
          <w:p>
            <w:pPr>
              <w:ind w:left="20"/>
              <w:spacing w:after="0" w:line="156" w:lineRule="exact"/>
              <w:rPr>
                <w:rFonts w:ascii="Arial" w:cs="Arial" w:eastAsia="Arial" w:hAnsi="Arial"/>
                <w:sz w:val="18"/>
                <w:szCs w:val="18"/>
                <w:color w:val="0000FF"/>
                <w:w w:val="85"/>
              </w:rPr>
            </w:pPr>
            <w:hyperlink w:anchor="page3">
              <w:r>
                <w:rPr>
                  <w:rFonts w:ascii="Arial" w:cs="Arial" w:eastAsia="Arial" w:hAnsi="Arial"/>
                  <w:sz w:val="18"/>
                  <w:szCs w:val="18"/>
                  <w:color w:val="0000FF"/>
                  <w:w w:val="85"/>
                </w:rPr>
                <w:t>document</w:t>
              </w:r>
            </w:hyperlink>
          </w:p>
        </w:tc>
        <w:tc>
          <w:tcPr>
            <w:tcW w:w="292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4"/>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400" w:type="dxa"/>
            <w:vAlign w:val="bottom"/>
          </w:tcPr>
          <w:p>
            <w:pPr>
              <w:spacing w:after="0"/>
              <w:rPr>
                <w:sz w:val="20"/>
                <w:szCs w:val="20"/>
                <w:color w:val="auto"/>
              </w:rPr>
            </w:pPr>
            <w:r>
              <w:rPr>
                <w:rFonts w:ascii="Arial" w:cs="Arial" w:eastAsia="Arial" w:hAnsi="Arial"/>
                <w:sz w:val="18"/>
                <w:szCs w:val="18"/>
                <w:color w:val="auto"/>
              </w:rPr>
              <w:t>101.SCH</w:t>
            </w:r>
          </w:p>
        </w:tc>
        <w:tc>
          <w:tcPr>
            <w:tcW w:w="6200" w:type="dxa"/>
            <w:vAlign w:val="bottom"/>
            <w:gridSpan w:val="14"/>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XBRL Taxonomy Extension Schema Document</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1400" w:type="dxa"/>
            <w:vAlign w:val="bottom"/>
          </w:tcPr>
          <w:p>
            <w:pPr>
              <w:spacing w:after="0" w:line="190" w:lineRule="exact"/>
              <w:rPr>
                <w:sz w:val="20"/>
                <w:szCs w:val="20"/>
                <w:color w:val="auto"/>
              </w:rPr>
            </w:pPr>
            <w:r>
              <w:rPr>
                <w:rFonts w:ascii="Arial" w:cs="Arial" w:eastAsia="Arial" w:hAnsi="Arial"/>
                <w:sz w:val="18"/>
                <w:szCs w:val="18"/>
                <w:color w:val="auto"/>
              </w:rPr>
              <w:t>101.CAL</w:t>
            </w:r>
          </w:p>
        </w:tc>
        <w:tc>
          <w:tcPr>
            <w:tcW w:w="6200" w:type="dxa"/>
            <w:vAlign w:val="bottom"/>
            <w:gridSpan w:val="14"/>
          </w:tcPr>
          <w:p>
            <w:pPr>
              <w:ind w:left="20"/>
              <w:spacing w:after="0" w:line="190" w:lineRule="exact"/>
              <w:rPr>
                <w:rFonts w:ascii="Arial" w:cs="Arial" w:eastAsia="Arial" w:hAnsi="Arial"/>
                <w:sz w:val="18"/>
                <w:szCs w:val="18"/>
                <w:color w:val="0000FF"/>
              </w:rPr>
            </w:pPr>
            <w:hyperlink w:anchor="page3">
              <w:r>
                <w:rPr>
                  <w:rFonts w:ascii="Arial" w:cs="Arial" w:eastAsia="Arial" w:hAnsi="Arial"/>
                  <w:sz w:val="18"/>
                  <w:szCs w:val="18"/>
                  <w:color w:val="0000FF"/>
                </w:rPr>
                <w:t>XBRL Taxonomy Extension Calculation Linkbase</w:t>
              </w:r>
            </w:hyperlink>
          </w:p>
        </w:tc>
        <w:tc>
          <w:tcPr>
            <w:tcW w:w="232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760" w:type="dxa"/>
            <w:vAlign w:val="bottom"/>
            <w:tcBorders>
              <w:top w:val="single" w:sz="8" w:color="0000FF"/>
              <w:bottom w:val="single" w:sz="8" w:color="0000FF"/>
            </w:tcBorders>
            <w:gridSpan w:val="2"/>
          </w:tcPr>
          <w:p>
            <w:pPr>
              <w:ind w:left="20"/>
              <w:spacing w:after="0" w:line="156" w:lineRule="exact"/>
              <w:rPr>
                <w:rFonts w:ascii="Arial" w:cs="Arial" w:eastAsia="Arial" w:hAnsi="Arial"/>
                <w:sz w:val="18"/>
                <w:szCs w:val="18"/>
                <w:color w:val="0000FF"/>
                <w:w w:val="87"/>
              </w:rPr>
            </w:pPr>
            <w:hyperlink w:anchor="page3">
              <w:r>
                <w:rPr>
                  <w:rFonts w:ascii="Arial" w:cs="Arial" w:eastAsia="Arial" w:hAnsi="Arial"/>
                  <w:sz w:val="18"/>
                  <w:szCs w:val="18"/>
                  <w:color w:val="0000FF"/>
                  <w:w w:val="87"/>
                </w:rPr>
                <w:t>Document</w:t>
              </w:r>
            </w:hyperlink>
          </w:p>
        </w:tc>
        <w:tc>
          <w:tcPr>
            <w:tcW w:w="2900" w:type="dxa"/>
            <w:vAlign w:val="bottom"/>
            <w:tcBorders>
              <w:top w:val="single" w:sz="8" w:color="0000FF"/>
            </w:tcBorders>
            <w:gridSpan w:val="7"/>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4"/>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00" w:type="dxa"/>
            <w:vAlign w:val="bottom"/>
          </w:tcPr>
          <w:p>
            <w:pPr>
              <w:spacing w:after="0"/>
              <w:rPr>
                <w:sz w:val="20"/>
                <w:szCs w:val="20"/>
                <w:color w:val="auto"/>
              </w:rPr>
            </w:pPr>
            <w:r>
              <w:rPr>
                <w:rFonts w:ascii="Arial" w:cs="Arial" w:eastAsia="Arial" w:hAnsi="Arial"/>
                <w:sz w:val="18"/>
                <w:szCs w:val="18"/>
                <w:color w:val="auto"/>
              </w:rPr>
              <w:t>101.DEF</w:t>
            </w:r>
          </w:p>
        </w:tc>
        <w:tc>
          <w:tcPr>
            <w:tcW w:w="6200" w:type="dxa"/>
            <w:vAlign w:val="bottom"/>
            <w:gridSpan w:val="14"/>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XBRL Taxonomy Extension Definition Linkbase</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760" w:type="dxa"/>
            <w:vAlign w:val="bottom"/>
            <w:tcBorders>
              <w:top w:val="single" w:sz="8" w:color="0000FF"/>
              <w:bottom w:val="single" w:sz="8" w:color="0000FF"/>
            </w:tcBorders>
            <w:gridSpan w:val="2"/>
          </w:tcPr>
          <w:p>
            <w:pPr>
              <w:ind w:left="20"/>
              <w:spacing w:after="0" w:line="156" w:lineRule="exact"/>
              <w:rPr>
                <w:rFonts w:ascii="Arial" w:cs="Arial" w:eastAsia="Arial" w:hAnsi="Arial"/>
                <w:sz w:val="18"/>
                <w:szCs w:val="18"/>
                <w:color w:val="0000FF"/>
                <w:w w:val="87"/>
              </w:rPr>
            </w:pPr>
            <w:hyperlink w:anchor="page3">
              <w:r>
                <w:rPr>
                  <w:rFonts w:ascii="Arial" w:cs="Arial" w:eastAsia="Arial" w:hAnsi="Arial"/>
                  <w:sz w:val="18"/>
                  <w:szCs w:val="18"/>
                  <w:color w:val="0000FF"/>
                  <w:w w:val="87"/>
                </w:rPr>
                <w:t>Document</w:t>
              </w:r>
            </w:hyperlink>
          </w:p>
        </w:tc>
        <w:tc>
          <w:tcPr>
            <w:tcW w:w="2800" w:type="dxa"/>
            <w:vAlign w:val="bottom"/>
            <w:tcBorders>
              <w:top w:val="single" w:sz="8" w:color="0000FF"/>
            </w:tcBorders>
            <w:gridSpan w:val="4"/>
          </w:tcPr>
          <w:p>
            <w:pPr>
              <w:spacing w:after="0"/>
              <w:rPr>
                <w:sz w:val="13"/>
                <w:szCs w:val="13"/>
                <w:color w:val="auto"/>
              </w:rPr>
            </w:pPr>
          </w:p>
        </w:tc>
        <w:tc>
          <w:tcPr>
            <w:tcW w:w="140" w:type="dxa"/>
            <w:vAlign w:val="bottom"/>
            <w:gridSpan w:val="4"/>
          </w:tcPr>
          <w:p>
            <w:pPr>
              <w:spacing w:after="0"/>
              <w:rPr>
                <w:sz w:val="13"/>
                <w:szCs w:val="13"/>
                <w:color w:val="auto"/>
              </w:rPr>
            </w:pPr>
          </w:p>
        </w:tc>
        <w:tc>
          <w:tcPr>
            <w:tcW w:w="2500" w:type="dxa"/>
            <w:vAlign w:val="bottom"/>
            <w:gridSpan w:val="4"/>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00" w:type="dxa"/>
            <w:vAlign w:val="bottom"/>
          </w:tcPr>
          <w:p>
            <w:pPr>
              <w:spacing w:after="0"/>
              <w:rPr>
                <w:sz w:val="20"/>
                <w:szCs w:val="20"/>
                <w:color w:val="auto"/>
              </w:rPr>
            </w:pPr>
            <w:r>
              <w:rPr>
                <w:rFonts w:ascii="Arial" w:cs="Arial" w:eastAsia="Arial" w:hAnsi="Arial"/>
                <w:sz w:val="18"/>
                <w:szCs w:val="18"/>
                <w:color w:val="auto"/>
              </w:rPr>
              <w:t>101.LAB</w:t>
            </w:r>
          </w:p>
        </w:tc>
        <w:tc>
          <w:tcPr>
            <w:tcW w:w="6200" w:type="dxa"/>
            <w:vAlign w:val="bottom"/>
            <w:gridSpan w:val="14"/>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XBRL Taxonomy Extension Label Linkbase</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760" w:type="dxa"/>
            <w:vAlign w:val="bottom"/>
            <w:tcBorders>
              <w:top w:val="single" w:sz="8" w:color="0000FF"/>
              <w:bottom w:val="single" w:sz="8" w:color="0000FF"/>
            </w:tcBorders>
            <w:gridSpan w:val="2"/>
          </w:tcPr>
          <w:p>
            <w:pPr>
              <w:ind w:left="20"/>
              <w:spacing w:after="0" w:line="156" w:lineRule="exact"/>
              <w:rPr>
                <w:rFonts w:ascii="Arial" w:cs="Arial" w:eastAsia="Arial" w:hAnsi="Arial"/>
                <w:sz w:val="18"/>
                <w:szCs w:val="18"/>
                <w:color w:val="0000FF"/>
                <w:w w:val="87"/>
              </w:rPr>
            </w:pPr>
            <w:hyperlink w:anchor="page3">
              <w:r>
                <w:rPr>
                  <w:rFonts w:ascii="Arial" w:cs="Arial" w:eastAsia="Arial" w:hAnsi="Arial"/>
                  <w:sz w:val="18"/>
                  <w:szCs w:val="18"/>
                  <w:color w:val="0000FF"/>
                  <w:w w:val="87"/>
                </w:rPr>
                <w:t>Document</w:t>
              </w:r>
            </w:hyperlink>
          </w:p>
        </w:tc>
        <w:tc>
          <w:tcPr>
            <w:tcW w:w="2460" w:type="dxa"/>
            <w:vAlign w:val="bottom"/>
            <w:tcBorders>
              <w:top w:val="single" w:sz="8" w:color="0000FF"/>
            </w:tcBorders>
            <w:gridSpan w:val="3"/>
          </w:tcPr>
          <w:p>
            <w:pPr>
              <w:spacing w:after="0"/>
              <w:rPr>
                <w:sz w:val="13"/>
                <w:szCs w:val="13"/>
                <w:color w:val="auto"/>
              </w:rPr>
            </w:pPr>
          </w:p>
        </w:tc>
        <w:tc>
          <w:tcPr>
            <w:tcW w:w="480" w:type="dxa"/>
            <w:vAlign w:val="bottom"/>
            <w:gridSpan w:val="5"/>
          </w:tcPr>
          <w:p>
            <w:pPr>
              <w:spacing w:after="0"/>
              <w:rPr>
                <w:sz w:val="13"/>
                <w:szCs w:val="13"/>
                <w:color w:val="auto"/>
              </w:rPr>
            </w:pPr>
          </w:p>
        </w:tc>
        <w:tc>
          <w:tcPr>
            <w:tcW w:w="2500" w:type="dxa"/>
            <w:vAlign w:val="bottom"/>
            <w:gridSpan w:val="4"/>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00" w:type="dxa"/>
            <w:vAlign w:val="bottom"/>
          </w:tcPr>
          <w:p>
            <w:pPr>
              <w:spacing w:after="0"/>
              <w:rPr>
                <w:sz w:val="20"/>
                <w:szCs w:val="20"/>
                <w:color w:val="auto"/>
              </w:rPr>
            </w:pPr>
            <w:r>
              <w:rPr>
                <w:rFonts w:ascii="Arial" w:cs="Arial" w:eastAsia="Arial" w:hAnsi="Arial"/>
                <w:sz w:val="18"/>
                <w:szCs w:val="18"/>
                <w:color w:val="auto"/>
              </w:rPr>
              <w:t>101.PRE</w:t>
            </w:r>
          </w:p>
        </w:tc>
        <w:tc>
          <w:tcPr>
            <w:tcW w:w="6200" w:type="dxa"/>
            <w:vAlign w:val="bottom"/>
            <w:gridSpan w:val="14"/>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XBRL Taxonomy Extension Presentation Linkbase</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760" w:type="dxa"/>
            <w:vAlign w:val="bottom"/>
            <w:tcBorders>
              <w:top w:val="single" w:sz="8" w:color="0000FF"/>
              <w:bottom w:val="single" w:sz="8" w:color="0000FF"/>
            </w:tcBorders>
            <w:gridSpan w:val="2"/>
          </w:tcPr>
          <w:p>
            <w:pPr>
              <w:ind w:left="20"/>
              <w:spacing w:after="0" w:line="156" w:lineRule="exact"/>
              <w:rPr>
                <w:rFonts w:ascii="Arial" w:cs="Arial" w:eastAsia="Arial" w:hAnsi="Arial"/>
                <w:sz w:val="18"/>
                <w:szCs w:val="18"/>
                <w:color w:val="0000FF"/>
                <w:w w:val="87"/>
              </w:rPr>
            </w:pPr>
            <w:hyperlink w:anchor="page3">
              <w:r>
                <w:rPr>
                  <w:rFonts w:ascii="Arial" w:cs="Arial" w:eastAsia="Arial" w:hAnsi="Arial"/>
                  <w:sz w:val="18"/>
                  <w:szCs w:val="18"/>
                  <w:color w:val="0000FF"/>
                  <w:w w:val="87"/>
                </w:rPr>
                <w:t>Document</w:t>
              </w:r>
            </w:hyperlink>
          </w:p>
        </w:tc>
        <w:tc>
          <w:tcPr>
            <w:tcW w:w="2940" w:type="dxa"/>
            <w:vAlign w:val="bottom"/>
            <w:tcBorders>
              <w:top w:val="single" w:sz="8" w:color="0000FF"/>
            </w:tcBorders>
            <w:gridSpan w:val="8"/>
          </w:tcPr>
          <w:p>
            <w:pPr>
              <w:spacing w:after="0"/>
              <w:rPr>
                <w:sz w:val="13"/>
                <w:szCs w:val="13"/>
                <w:color w:val="auto"/>
              </w:rPr>
            </w:pPr>
          </w:p>
        </w:tc>
        <w:tc>
          <w:tcPr>
            <w:tcW w:w="2500" w:type="dxa"/>
            <w:vAlign w:val="bottom"/>
            <w:gridSpan w:val="4"/>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6200" w:type="dxa"/>
            <w:vAlign w:val="bottom"/>
            <w:gridSpan w:val="14"/>
          </w:tcPr>
          <w:p>
            <w:pPr>
              <w:ind w:left="20"/>
              <w:spacing w:after="0" w:line="196" w:lineRule="exact"/>
              <w:rPr>
                <w:sz w:val="20"/>
                <w:szCs w:val="20"/>
                <w:color w:val="auto"/>
              </w:rPr>
            </w:pPr>
            <w:r>
              <w:rPr>
                <w:rFonts w:ascii="Arial" w:cs="Arial" w:eastAsia="Arial" w:hAnsi="Arial"/>
                <w:sz w:val="18"/>
                <w:szCs w:val="18"/>
                <w:color w:val="auto"/>
              </w:rPr>
              <w:t>Cover Page Interactive Data File (formatted as inline</w:t>
            </w:r>
          </w:p>
        </w:tc>
        <w:tc>
          <w:tcPr>
            <w:tcW w:w="2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6200" w:type="dxa"/>
            <w:vAlign w:val="bottom"/>
            <w:gridSpan w:val="14"/>
          </w:tcPr>
          <w:p>
            <w:pPr>
              <w:ind w:left="20"/>
              <w:spacing w:after="0"/>
              <w:rPr>
                <w:sz w:val="20"/>
                <w:szCs w:val="20"/>
                <w:color w:val="auto"/>
              </w:rPr>
            </w:pPr>
            <w:r>
              <w:rPr>
                <w:rFonts w:ascii="Arial" w:cs="Arial" w:eastAsia="Arial" w:hAnsi="Arial"/>
                <w:sz w:val="18"/>
                <w:szCs w:val="18"/>
                <w:color w:val="auto"/>
              </w:rPr>
              <w:t>XBRL and contained in Exhibit 101)</w:t>
            </w:r>
          </w:p>
        </w:tc>
        <w:tc>
          <w:tcPr>
            <w:tcW w:w="2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24599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379" w:firstLine="8"/>
        <w:spacing w:after="0" w:line="277" w:lineRule="auto"/>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confidential information contained in this Exhibit has been omitted because it is both (i) not material and (ii) would be competitively harmful if publicly disclosed.</w:t>
      </w:r>
    </w:p>
    <w:p>
      <w:pPr>
        <w:spacing w:after="0" w:line="197"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plan or arrangement.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15(a)(3) above.</w:t>
      </w:r>
    </w:p>
    <w:p>
      <w:pPr>
        <w:spacing w:after="0" w:line="200" w:lineRule="exact"/>
        <w:rPr>
          <w:sz w:val="20"/>
          <w:szCs w:val="20"/>
          <w:color w:val="auto"/>
        </w:rPr>
      </w:pPr>
    </w:p>
    <w:p>
      <w:pPr>
        <w:spacing w:after="0" w:line="237" w:lineRule="exact"/>
        <w:rPr>
          <w:sz w:val="20"/>
          <w:szCs w:val="20"/>
          <w:color w:val="auto"/>
        </w:rPr>
      </w:pPr>
    </w:p>
    <w:p>
      <w:pPr>
        <w:ind w:left="660" w:right="7539" w:hanging="652"/>
        <w:spacing w:after="0" w:line="630" w:lineRule="auto"/>
        <w:tabs>
          <w:tab w:leader="none" w:pos="257" w:val="left"/>
        </w:tabs>
        <w:numPr>
          <w:ilvl w:val="0"/>
          <w:numId w:val="3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 Schedules </w:t>
      </w:r>
      <w:r>
        <w:rPr>
          <w:rFonts w:ascii="Arial" w:cs="Arial" w:eastAsia="Arial" w:hAnsi="Arial"/>
          <w:sz w:val="15"/>
          <w:szCs w:val="15"/>
          <w:color w:val="auto"/>
        </w:rPr>
        <w:t>See Item 15(a)(2)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13" w:right="1440" w:bottom="1440" w:gutter="0" w:footer="0" w:header="0"/>
        </w:sectPr>
      </w:pPr>
    </w:p>
    <w:bookmarkStart w:id="64" w:name="page65"/>
    <w:bookmarkEnd w:id="64"/>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26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Kratos Defense &amp; Security Solutions, Inc.</w:t>
      </w:r>
    </w:p>
    <w:p>
      <w:pPr>
        <w:spacing w:after="0" w:line="293" w:lineRule="exact"/>
        <w:rPr>
          <w:sz w:val="20"/>
          <w:szCs w:val="20"/>
          <w:color w:val="auto"/>
        </w:rPr>
      </w:pPr>
    </w:p>
    <w:p>
      <w:pPr>
        <w:ind w:left="462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23495</wp:posOffset>
            </wp:positionV>
            <wp:extent cx="37973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7">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28" w:lineRule="exact"/>
        <w:rPr>
          <w:sz w:val="20"/>
          <w:szCs w:val="20"/>
          <w:color w:val="auto"/>
        </w:rPr>
      </w:pPr>
    </w:p>
    <w:p>
      <w:pPr>
        <w:jc w:val="center"/>
        <w:ind w:left="5100"/>
        <w:spacing w:after="0"/>
        <w:rPr>
          <w:sz w:val="20"/>
          <w:szCs w:val="20"/>
          <w:color w:val="auto"/>
        </w:rPr>
      </w:pPr>
      <w:r>
        <w:rPr>
          <w:rFonts w:ascii="Arial" w:cs="Arial" w:eastAsia="Arial" w:hAnsi="Arial"/>
          <w:sz w:val="18"/>
          <w:szCs w:val="18"/>
          <w:color w:val="auto"/>
        </w:rPr>
        <w:t>Eric M. DeMarco</w:t>
      </w:r>
    </w:p>
    <w:p>
      <w:pPr>
        <w:jc w:val="center"/>
        <w:ind w:left="5100"/>
        <w:spacing w:after="0" w:line="234" w:lineRule="auto"/>
        <w:rPr>
          <w:sz w:val="20"/>
          <w:szCs w:val="20"/>
          <w:color w:val="auto"/>
        </w:rPr>
      </w:pPr>
      <w:r>
        <w:rPr>
          <w:rFonts w:ascii="Arial" w:cs="Arial" w:eastAsia="Arial" w:hAnsi="Arial"/>
          <w:sz w:val="18"/>
          <w:szCs w:val="18"/>
          <w:i w:val="1"/>
          <w:iCs w:val="1"/>
          <w:color w:val="auto"/>
        </w:rPr>
        <w:t>President and Chief Executive Officer (Principal</w:t>
      </w:r>
    </w:p>
    <w:p>
      <w:pPr>
        <w:spacing w:after="0" w:line="1" w:lineRule="exact"/>
        <w:rPr>
          <w:sz w:val="20"/>
          <w:szCs w:val="20"/>
          <w:color w:val="auto"/>
        </w:rPr>
      </w:pPr>
    </w:p>
    <w:p>
      <w:pPr>
        <w:ind w:left="7520"/>
        <w:spacing w:after="0"/>
        <w:rPr>
          <w:sz w:val="20"/>
          <w:szCs w:val="20"/>
          <w:color w:val="auto"/>
        </w:rPr>
      </w:pPr>
      <w:r>
        <w:rPr>
          <w:rFonts w:ascii="Arial" w:cs="Arial" w:eastAsia="Arial" w:hAnsi="Arial"/>
          <w:sz w:val="18"/>
          <w:szCs w:val="18"/>
          <w:i w:val="1"/>
          <w:iCs w:val="1"/>
          <w:color w:val="auto"/>
        </w:rPr>
        <w:t>Executive Officer)</w:t>
      </w:r>
    </w:p>
    <w:p>
      <w:pPr>
        <w:spacing w:after="0" w:line="22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40"/>
          </w:cols>
          <w:pgMar w:left="320" w:top="89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700"/>
        <w:spacing w:after="0"/>
        <w:rPr>
          <w:sz w:val="20"/>
          <w:szCs w:val="20"/>
          <w:color w:val="auto"/>
        </w:rPr>
      </w:pPr>
      <w:r>
        <w:rPr>
          <w:rFonts w:ascii="Arial" w:cs="Arial" w:eastAsia="Arial" w:hAnsi="Arial"/>
          <w:sz w:val="14"/>
          <w:szCs w:val="14"/>
          <w:color w:val="auto"/>
        </w:rPr>
        <w:t>Signature</w:t>
      </w:r>
    </w:p>
    <w:p>
      <w:pPr>
        <w:spacing w:after="0" w:line="300" w:lineRule="exact"/>
        <w:rPr>
          <w:sz w:val="20"/>
          <w:szCs w:val="20"/>
          <w:color w:val="auto"/>
        </w:rPr>
      </w:pPr>
    </w:p>
    <w:p>
      <w:pPr>
        <w:jc w:val="center"/>
        <w:ind w:left="700"/>
        <w:spacing w:after="0"/>
        <w:rPr>
          <w:sz w:val="20"/>
          <w:szCs w:val="20"/>
          <w:color w:val="auto"/>
        </w:rPr>
      </w:pPr>
      <w:r>
        <w:rPr>
          <w:rFonts w:ascii="Arial" w:cs="Arial" w:eastAsia="Arial" w:hAnsi="Arial"/>
          <w:sz w:val="18"/>
          <w:szCs w:val="18"/>
          <w:u w:val="single" w:color="auto"/>
          <w:color w:val="auto"/>
        </w:rPr>
        <w:t>/s/ Eric M. DeMarco</w:t>
      </w:r>
    </w:p>
    <w:p>
      <w:pPr>
        <w:jc w:val="center"/>
        <w:ind w:left="700"/>
        <w:spacing w:after="0"/>
        <w:rPr>
          <w:sz w:val="20"/>
          <w:szCs w:val="20"/>
          <w:color w:val="auto"/>
        </w:rPr>
      </w:pPr>
      <w:r>
        <w:rPr>
          <w:rFonts w:ascii="Arial" w:cs="Arial" w:eastAsia="Arial" w:hAnsi="Arial"/>
          <w:sz w:val="18"/>
          <w:szCs w:val="18"/>
          <w:color w:val="auto"/>
        </w:rPr>
        <w:t>Eric M. DeMarco</w:t>
      </w:r>
    </w:p>
    <w:p>
      <w:pPr>
        <w:spacing w:after="0" w:line="302" w:lineRule="exact"/>
        <w:rPr>
          <w:sz w:val="20"/>
          <w:szCs w:val="20"/>
          <w:color w:val="auto"/>
        </w:rPr>
      </w:pPr>
    </w:p>
    <w:p>
      <w:pPr>
        <w:jc w:val="center"/>
        <w:ind w:left="700"/>
        <w:spacing w:after="0"/>
        <w:rPr>
          <w:sz w:val="20"/>
          <w:szCs w:val="20"/>
          <w:color w:val="auto"/>
        </w:rPr>
      </w:pPr>
      <w:r>
        <w:rPr>
          <w:rFonts w:ascii="Arial" w:cs="Arial" w:eastAsia="Arial" w:hAnsi="Arial"/>
          <w:sz w:val="18"/>
          <w:szCs w:val="18"/>
          <w:u w:val="single" w:color="auto"/>
          <w:color w:val="auto"/>
        </w:rPr>
        <w:t>/s/ Deanna H. Lund</w:t>
      </w:r>
    </w:p>
    <w:p>
      <w:pPr>
        <w:jc w:val="center"/>
        <w:ind w:left="700"/>
        <w:spacing w:after="0"/>
        <w:rPr>
          <w:sz w:val="20"/>
          <w:szCs w:val="20"/>
          <w:color w:val="auto"/>
        </w:rPr>
      </w:pPr>
      <w:r>
        <w:rPr>
          <w:rFonts w:ascii="Arial" w:cs="Arial" w:eastAsia="Arial" w:hAnsi="Arial"/>
          <w:sz w:val="18"/>
          <w:szCs w:val="18"/>
          <w:color w:val="auto"/>
        </w:rPr>
        <w:t>Deanna H. Lund</w:t>
      </w:r>
    </w:p>
    <w:p>
      <w:pPr>
        <w:spacing w:after="0" w:line="304" w:lineRule="exact"/>
        <w:rPr>
          <w:sz w:val="20"/>
          <w:szCs w:val="20"/>
          <w:color w:val="auto"/>
        </w:rPr>
      </w:pPr>
    </w:p>
    <w:p>
      <w:pPr>
        <w:jc w:val="center"/>
        <w:ind w:left="700"/>
        <w:spacing w:after="0"/>
        <w:rPr>
          <w:sz w:val="20"/>
          <w:szCs w:val="20"/>
          <w:color w:val="auto"/>
        </w:rPr>
      </w:pPr>
      <w:r>
        <w:rPr>
          <w:rFonts w:ascii="Arial" w:cs="Arial" w:eastAsia="Arial" w:hAnsi="Arial"/>
          <w:sz w:val="16"/>
          <w:szCs w:val="16"/>
          <w:u w:val="single" w:color="auto"/>
          <w:color w:val="auto"/>
        </w:rPr>
        <w:t>/s/ Maria Cervantes de Burgreen</w:t>
      </w:r>
    </w:p>
    <w:p>
      <w:pPr>
        <w:spacing w:after="0" w:line="21" w:lineRule="exact"/>
        <w:rPr>
          <w:sz w:val="20"/>
          <w:szCs w:val="20"/>
          <w:color w:val="auto"/>
        </w:rPr>
      </w:pPr>
    </w:p>
    <w:p>
      <w:pPr>
        <w:jc w:val="center"/>
        <w:ind w:left="700"/>
        <w:spacing w:after="0"/>
        <w:rPr>
          <w:sz w:val="20"/>
          <w:szCs w:val="20"/>
          <w:color w:val="auto"/>
        </w:rPr>
      </w:pPr>
      <w:r>
        <w:rPr>
          <w:rFonts w:ascii="Arial" w:cs="Arial" w:eastAsia="Arial" w:hAnsi="Arial"/>
          <w:sz w:val="17"/>
          <w:szCs w:val="17"/>
          <w:color w:val="auto"/>
        </w:rPr>
        <w:t>Maria Cervantes de Burgreen</w:t>
      </w:r>
    </w:p>
    <w:p>
      <w:pPr>
        <w:spacing w:after="0" w:line="313" w:lineRule="exact"/>
        <w:rPr>
          <w:sz w:val="20"/>
          <w:szCs w:val="20"/>
          <w:color w:val="auto"/>
        </w:rPr>
      </w:pPr>
    </w:p>
    <w:p>
      <w:pPr>
        <w:jc w:val="center"/>
        <w:ind w:left="700"/>
        <w:spacing w:after="0"/>
        <w:rPr>
          <w:sz w:val="20"/>
          <w:szCs w:val="20"/>
          <w:color w:val="auto"/>
        </w:rPr>
      </w:pPr>
      <w:r>
        <w:rPr>
          <w:rFonts w:ascii="Arial" w:cs="Arial" w:eastAsia="Arial" w:hAnsi="Arial"/>
          <w:sz w:val="18"/>
          <w:szCs w:val="18"/>
          <w:u w:val="single" w:color="auto"/>
          <w:color w:val="auto"/>
        </w:rPr>
        <w:t>/s/ Scott Anderson</w:t>
      </w:r>
    </w:p>
    <w:p>
      <w:pPr>
        <w:jc w:val="center"/>
        <w:ind w:left="700"/>
        <w:spacing w:after="0"/>
        <w:rPr>
          <w:sz w:val="20"/>
          <w:szCs w:val="20"/>
          <w:color w:val="auto"/>
        </w:rPr>
      </w:pPr>
      <w:r>
        <w:rPr>
          <w:rFonts w:ascii="Arial" w:cs="Arial" w:eastAsia="Arial" w:hAnsi="Arial"/>
          <w:sz w:val="18"/>
          <w:szCs w:val="18"/>
          <w:color w:val="auto"/>
        </w:rPr>
        <w:t>Scott Anderson</w:t>
      </w:r>
    </w:p>
    <w:p>
      <w:pPr>
        <w:spacing w:after="0" w:line="302" w:lineRule="exact"/>
        <w:rPr>
          <w:sz w:val="20"/>
          <w:szCs w:val="20"/>
          <w:color w:val="auto"/>
        </w:rPr>
      </w:pPr>
    </w:p>
    <w:p>
      <w:pPr>
        <w:jc w:val="center"/>
        <w:ind w:left="700"/>
        <w:spacing w:after="0"/>
        <w:rPr>
          <w:sz w:val="20"/>
          <w:szCs w:val="20"/>
          <w:color w:val="auto"/>
        </w:rPr>
      </w:pPr>
      <w:r>
        <w:rPr>
          <w:rFonts w:ascii="Arial" w:cs="Arial" w:eastAsia="Arial" w:hAnsi="Arial"/>
          <w:sz w:val="18"/>
          <w:szCs w:val="18"/>
          <w:u w:val="single" w:color="auto"/>
          <w:color w:val="auto"/>
        </w:rPr>
        <w:t>/s/ William Hoglund</w:t>
      </w:r>
    </w:p>
    <w:p>
      <w:pPr>
        <w:jc w:val="center"/>
        <w:ind w:left="700"/>
        <w:spacing w:after="0"/>
        <w:rPr>
          <w:sz w:val="20"/>
          <w:szCs w:val="20"/>
          <w:color w:val="auto"/>
        </w:rPr>
      </w:pPr>
      <w:r>
        <w:rPr>
          <w:rFonts w:ascii="Arial" w:cs="Arial" w:eastAsia="Arial" w:hAnsi="Arial"/>
          <w:sz w:val="18"/>
          <w:szCs w:val="18"/>
          <w:color w:val="auto"/>
        </w:rPr>
        <w:t>William Hoglund</w:t>
      </w:r>
    </w:p>
    <w:p>
      <w:pPr>
        <w:spacing w:after="0" w:line="302" w:lineRule="exact"/>
        <w:rPr>
          <w:sz w:val="20"/>
          <w:szCs w:val="20"/>
          <w:color w:val="auto"/>
        </w:rPr>
      </w:pPr>
    </w:p>
    <w:p>
      <w:pPr>
        <w:jc w:val="center"/>
        <w:ind w:left="700"/>
        <w:spacing w:after="0"/>
        <w:rPr>
          <w:sz w:val="20"/>
          <w:szCs w:val="20"/>
          <w:color w:val="auto"/>
        </w:rPr>
      </w:pPr>
      <w:r>
        <w:rPr>
          <w:rFonts w:ascii="Arial" w:cs="Arial" w:eastAsia="Arial" w:hAnsi="Arial"/>
          <w:sz w:val="18"/>
          <w:szCs w:val="18"/>
          <w:u w:val="single" w:color="auto"/>
          <w:color w:val="auto"/>
        </w:rPr>
        <w:t>/s/ Scot Jarvis</w:t>
      </w:r>
    </w:p>
    <w:p>
      <w:pPr>
        <w:jc w:val="center"/>
        <w:ind w:left="700"/>
        <w:spacing w:after="0"/>
        <w:rPr>
          <w:sz w:val="20"/>
          <w:szCs w:val="20"/>
          <w:color w:val="auto"/>
        </w:rPr>
      </w:pPr>
      <w:r>
        <w:rPr>
          <w:rFonts w:ascii="Arial" w:cs="Arial" w:eastAsia="Arial" w:hAnsi="Arial"/>
          <w:sz w:val="18"/>
          <w:szCs w:val="18"/>
          <w:color w:val="auto"/>
        </w:rPr>
        <w:t>Scot Jarvis</w:t>
      </w:r>
    </w:p>
    <w:p>
      <w:pPr>
        <w:spacing w:after="0" w:line="302" w:lineRule="exact"/>
        <w:rPr>
          <w:sz w:val="20"/>
          <w:szCs w:val="20"/>
          <w:color w:val="auto"/>
        </w:rPr>
      </w:pPr>
    </w:p>
    <w:p>
      <w:pPr>
        <w:jc w:val="center"/>
        <w:ind w:left="700"/>
        <w:spacing w:after="0"/>
        <w:rPr>
          <w:sz w:val="20"/>
          <w:szCs w:val="20"/>
          <w:color w:val="auto"/>
        </w:rPr>
      </w:pPr>
      <w:r>
        <w:rPr>
          <w:rFonts w:ascii="Arial" w:cs="Arial" w:eastAsia="Arial" w:hAnsi="Arial"/>
          <w:sz w:val="18"/>
          <w:szCs w:val="18"/>
          <w:u w:val="single" w:color="auto"/>
          <w:color w:val="auto"/>
        </w:rPr>
        <w:t>/s/ Jane E. Judd</w:t>
      </w:r>
    </w:p>
    <w:p>
      <w:pPr>
        <w:jc w:val="center"/>
        <w:ind w:left="700"/>
        <w:spacing w:after="0"/>
        <w:rPr>
          <w:sz w:val="20"/>
          <w:szCs w:val="20"/>
          <w:color w:val="auto"/>
        </w:rPr>
      </w:pPr>
      <w:r>
        <w:rPr>
          <w:rFonts w:ascii="Arial" w:cs="Arial" w:eastAsia="Arial" w:hAnsi="Arial"/>
          <w:sz w:val="18"/>
          <w:szCs w:val="18"/>
          <w:color w:val="auto"/>
        </w:rPr>
        <w:t>Jane E. Judd</w:t>
      </w:r>
    </w:p>
    <w:p>
      <w:pPr>
        <w:spacing w:after="0" w:line="302" w:lineRule="exact"/>
        <w:rPr>
          <w:sz w:val="20"/>
          <w:szCs w:val="20"/>
          <w:color w:val="auto"/>
        </w:rPr>
      </w:pPr>
    </w:p>
    <w:p>
      <w:pPr>
        <w:jc w:val="center"/>
        <w:ind w:left="700"/>
        <w:spacing w:after="0"/>
        <w:rPr>
          <w:sz w:val="20"/>
          <w:szCs w:val="20"/>
          <w:color w:val="auto"/>
        </w:rPr>
      </w:pPr>
      <w:r>
        <w:rPr>
          <w:rFonts w:ascii="Arial" w:cs="Arial" w:eastAsia="Arial" w:hAnsi="Arial"/>
          <w:sz w:val="18"/>
          <w:szCs w:val="18"/>
          <w:u w:val="single" w:color="auto"/>
          <w:color w:val="auto"/>
        </w:rPr>
        <w:t>/s/ Sam Liberatore</w:t>
      </w:r>
    </w:p>
    <w:p>
      <w:pPr>
        <w:jc w:val="center"/>
        <w:ind w:left="700"/>
        <w:spacing w:after="0"/>
        <w:rPr>
          <w:sz w:val="20"/>
          <w:szCs w:val="20"/>
          <w:color w:val="auto"/>
        </w:rPr>
      </w:pPr>
      <w:r>
        <w:rPr>
          <w:rFonts w:ascii="Arial" w:cs="Arial" w:eastAsia="Arial" w:hAnsi="Arial"/>
          <w:sz w:val="18"/>
          <w:szCs w:val="18"/>
          <w:color w:val="auto"/>
        </w:rPr>
        <w:t>Sam Liberatore</w:t>
      </w:r>
    </w:p>
    <w:p>
      <w:pPr>
        <w:spacing w:after="0" w:line="288" w:lineRule="exact"/>
        <w:rPr>
          <w:sz w:val="20"/>
          <w:szCs w:val="20"/>
          <w:color w:val="auto"/>
        </w:rPr>
      </w:pPr>
    </w:p>
    <w:p>
      <w:pPr>
        <w:jc w:val="center"/>
        <w:ind w:left="700"/>
        <w:spacing w:after="0"/>
        <w:rPr>
          <w:sz w:val="20"/>
          <w:szCs w:val="20"/>
          <w:color w:val="auto"/>
        </w:rPr>
      </w:pPr>
      <w:r>
        <w:rPr>
          <w:rFonts w:ascii="Arial" w:cs="Arial" w:eastAsia="Arial" w:hAnsi="Arial"/>
          <w:sz w:val="18"/>
          <w:szCs w:val="18"/>
          <w:u w:val="single" w:color="auto"/>
          <w:color w:val="auto"/>
        </w:rPr>
        <w:t>/s/ Amy Zegart</w:t>
      </w:r>
    </w:p>
    <w:p>
      <w:pPr>
        <w:jc w:val="center"/>
        <w:ind w:left="700"/>
        <w:spacing w:after="0"/>
        <w:rPr>
          <w:sz w:val="20"/>
          <w:szCs w:val="20"/>
          <w:color w:val="auto"/>
        </w:rPr>
      </w:pPr>
      <w:r>
        <w:rPr>
          <w:rFonts w:ascii="Arial" w:cs="Arial" w:eastAsia="Arial" w:hAnsi="Arial"/>
          <w:sz w:val="18"/>
          <w:szCs w:val="18"/>
          <w:color w:val="auto"/>
        </w:rPr>
        <w:t>Amy Zegart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Title</w:t>
      </w:r>
    </w:p>
    <w:p>
      <w:pPr>
        <w:spacing w:after="0" w:line="31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President, Chief Executive Officer and Director (Principal Executive Officer)</w:t>
      </w:r>
    </w:p>
    <w:p>
      <w:pPr>
        <w:spacing w:after="0" w:line="310"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Executive Vice President and Chief Financial Officer (Principal Financial Officer)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Corporate Controller</w:t>
      </w: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0"/>
        <w:spacing w:after="0"/>
        <w:rPr>
          <w:sz w:val="20"/>
          <w:szCs w:val="20"/>
          <w:color w:val="auto"/>
        </w:rPr>
      </w:pPr>
      <w:r>
        <w:rPr>
          <w:rFonts w:ascii="Arial" w:cs="Arial" w:eastAsia="Arial" w:hAnsi="Arial"/>
          <w:sz w:val="14"/>
          <w:szCs w:val="14"/>
          <w:color w:val="auto"/>
        </w:rPr>
        <w:t>Date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2021</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2021</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2021</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2021</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2021</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2021</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2021</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2021</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2021</w:t>
      </w:r>
    </w:p>
    <w:p>
      <w:pPr>
        <w:spacing w:after="0" w:line="333" w:lineRule="exact"/>
        <w:rPr>
          <w:sz w:val="20"/>
          <w:szCs w:val="20"/>
          <w:color w:val="auto"/>
        </w:rPr>
      </w:pPr>
    </w:p>
    <w:p>
      <w:pPr>
        <w:sectPr>
          <w:pgSz w:w="11900" w:h="16838" w:orient="portrait"/>
          <w:cols w:equalWidth="0" w:num="3">
            <w:col w:w="3840" w:space="720"/>
            <w:col w:w="4240" w:space="720"/>
            <w:col w:w="1620"/>
          </w:cols>
          <w:pgMar w:left="320" w:top="891"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20" w:type="dxa"/>
            <w:vAlign w:val="bottom"/>
            <w:gridSpan w:val="6"/>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Report of Independent Registered Public Accounting Firm</w:t>
              </w:r>
            </w:hyperlink>
          </w:p>
        </w:tc>
        <w:tc>
          <w:tcPr>
            <w:tcW w:w="100" w:type="dxa"/>
            <w:vAlign w:val="bottom"/>
          </w:tcPr>
          <w:p>
            <w:pPr>
              <w:spacing w:after="0"/>
              <w:rPr>
                <w:sz w:val="17"/>
                <w:szCs w:val="17"/>
                <w:color w:val="auto"/>
              </w:rPr>
            </w:pPr>
          </w:p>
        </w:tc>
        <w:tc>
          <w:tcPr>
            <w:tcW w:w="240" w:type="dxa"/>
            <w:vAlign w:val="bottom"/>
            <w:tcBorders>
              <w:bottom w:val="single" w:sz="8" w:color="0000FF"/>
            </w:tcBorders>
            <w:gridSpan w:val="2"/>
          </w:tcPr>
          <w:p>
            <w:pPr>
              <w:jc w:val="right"/>
              <w:spacing w:after="0"/>
              <w:rPr>
                <w:rFonts w:ascii="Arial" w:cs="Arial" w:eastAsia="Arial" w:hAnsi="Arial"/>
                <w:sz w:val="18"/>
                <w:szCs w:val="18"/>
                <w:color w:val="0000FF"/>
                <w:w w:val="81"/>
              </w:rPr>
            </w:pPr>
            <w:r>
              <w:rPr>
                <w:rFonts w:ascii="Arial" w:cs="Arial" w:eastAsia="Arial" w:hAnsi="Arial"/>
                <w:sz w:val="18"/>
                <w:szCs w:val="18"/>
                <w:color w:val="0000FF"/>
                <w:w w:val="81"/>
              </w:rPr>
              <w:t>F-</w:t>
            </w:r>
            <w:hyperlink w:anchor="page66">
              <w:r>
                <w:rPr>
                  <w:rFonts w:ascii="Arial" w:cs="Arial" w:eastAsia="Arial" w:hAnsi="Arial"/>
                  <w:sz w:val="18"/>
                  <w:szCs w:val="18"/>
                  <w:color w:val="0000FF"/>
                  <w:w w:val="81"/>
                </w:rPr>
                <w:t>2</w:t>
              </w:r>
            </w:hyperlink>
          </w:p>
        </w:tc>
        <w:tc>
          <w:tcPr>
            <w:tcW w:w="0" w:type="dxa"/>
            <w:vAlign w:val="bottom"/>
          </w:tcPr>
          <w:p>
            <w:pPr>
              <w:spacing w:after="0"/>
              <w:rPr>
                <w:sz w:val="1"/>
                <w:szCs w:val="1"/>
                <w:color w:val="auto"/>
              </w:rPr>
            </w:pPr>
          </w:p>
        </w:tc>
      </w:tr>
      <w:tr>
        <w:trPr>
          <w:trHeight w:val="210"/>
        </w:trPr>
        <w:tc>
          <w:tcPr>
            <w:tcW w:w="10820" w:type="dxa"/>
            <w:vAlign w:val="bottom"/>
            <w:gridSpan w:val="6"/>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 xml:space="preserve">Consolidated Balance Sheets as of December </w:t>
              </w:r>
            </w:hyperlink>
            <w:r>
              <w:rPr>
                <w:rFonts w:ascii="Arial" w:cs="Arial" w:eastAsia="Arial" w:hAnsi="Arial"/>
                <w:sz w:val="18"/>
                <w:szCs w:val="18"/>
                <w:color w:val="0000FF"/>
              </w:rPr>
              <w:t>27</w:t>
            </w:r>
            <w:hyperlink w:anchor="page69">
              <w:r>
                <w:rPr>
                  <w:rFonts w:ascii="Arial" w:cs="Arial" w:eastAsia="Arial" w:hAnsi="Arial"/>
                  <w:sz w:val="18"/>
                  <w:szCs w:val="18"/>
                  <w:color w:val="0000FF"/>
                </w:rPr>
                <w:t xml:space="preserve">, 2020 and December 29, </w:t>
              </w:r>
            </w:hyperlink>
            <w:r>
              <w:rPr>
                <w:rFonts w:ascii="Arial" w:cs="Arial" w:eastAsia="Arial" w:hAnsi="Arial"/>
                <w:sz w:val="18"/>
                <w:szCs w:val="18"/>
                <w:u w:val="single" w:color="auto"/>
                <w:color w:val="0000FF"/>
              </w:rPr>
              <w:t>2019</w:t>
            </w:r>
          </w:p>
        </w:tc>
        <w:tc>
          <w:tcPr>
            <w:tcW w:w="100" w:type="dxa"/>
            <w:vAlign w:val="bottom"/>
          </w:tcPr>
          <w:p>
            <w:pPr>
              <w:spacing w:after="0"/>
              <w:rPr>
                <w:sz w:val="18"/>
                <w:szCs w:val="18"/>
                <w:color w:val="auto"/>
              </w:rPr>
            </w:pPr>
          </w:p>
        </w:tc>
        <w:tc>
          <w:tcPr>
            <w:tcW w:w="240" w:type="dxa"/>
            <w:vAlign w:val="bottom"/>
            <w:gridSpan w:val="2"/>
          </w:tcPr>
          <w:p>
            <w:pPr>
              <w:jc w:val="right"/>
              <w:spacing w:after="0"/>
              <w:rPr>
                <w:rFonts w:ascii="Arial" w:cs="Arial" w:eastAsia="Arial" w:hAnsi="Arial"/>
                <w:sz w:val="18"/>
                <w:szCs w:val="18"/>
                <w:color w:val="0000FF"/>
                <w:w w:val="81"/>
              </w:rPr>
            </w:pPr>
            <w:r>
              <w:rPr>
                <w:rFonts w:ascii="Arial" w:cs="Arial" w:eastAsia="Arial" w:hAnsi="Arial"/>
                <w:sz w:val="18"/>
                <w:szCs w:val="18"/>
                <w:color w:val="0000FF"/>
                <w:w w:val="81"/>
              </w:rPr>
              <w:t>F-</w:t>
            </w:r>
            <w:hyperlink w:anchor="page69">
              <w:r>
                <w:rPr>
                  <w:rFonts w:ascii="Arial" w:cs="Arial" w:eastAsia="Arial" w:hAnsi="Arial"/>
                  <w:sz w:val="18"/>
                  <w:szCs w:val="18"/>
                  <w:color w:val="0000FF"/>
                  <w:w w:val="81"/>
                </w:rPr>
                <w:t>5</w:t>
              </w:r>
            </w:hyperlink>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20" w:type="dxa"/>
            <w:vAlign w:val="bottom"/>
            <w:gridSpan w:val="6"/>
          </w:tcPr>
          <w:p>
            <w:pPr>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 xml:space="preserve">Consolidated Statements of Operations for the Years Ended December </w:t>
              </w:r>
            </w:hyperlink>
            <w:r>
              <w:rPr>
                <w:rFonts w:ascii="Arial" w:cs="Arial" w:eastAsia="Arial" w:hAnsi="Arial"/>
                <w:sz w:val="18"/>
                <w:szCs w:val="18"/>
                <w:u w:val="single" w:color="auto"/>
                <w:color w:val="0000FF"/>
              </w:rPr>
              <w:t xml:space="preserve">27, 2020, </w:t>
            </w:r>
            <w:hyperlink w:anchor="page70">
              <w:r>
                <w:rPr>
                  <w:rFonts w:ascii="Arial" w:cs="Arial" w:eastAsia="Arial" w:hAnsi="Arial"/>
                  <w:sz w:val="18"/>
                  <w:szCs w:val="18"/>
                  <w:u w:val="single" w:color="auto"/>
                  <w:color w:val="0000FF"/>
                </w:rPr>
                <w:t xml:space="preserve">December 29, </w:t>
              </w:r>
            </w:hyperlink>
            <w:r>
              <w:rPr>
                <w:rFonts w:ascii="Arial" w:cs="Arial" w:eastAsia="Arial" w:hAnsi="Arial"/>
                <w:sz w:val="18"/>
                <w:szCs w:val="18"/>
                <w:u w:val="single" w:color="auto"/>
                <w:color w:val="0000FF"/>
              </w:rPr>
              <w:t xml:space="preserve">2019, </w:t>
            </w:r>
            <w:hyperlink w:anchor="page70">
              <w:r>
                <w:rPr>
                  <w:rFonts w:ascii="Arial" w:cs="Arial" w:eastAsia="Arial" w:hAnsi="Arial"/>
                  <w:sz w:val="18"/>
                  <w:szCs w:val="18"/>
                  <w:u w:val="single" w:color="auto"/>
                  <w:color w:val="0000FF"/>
                </w:rPr>
                <w:t xml:space="preserve">and December </w:t>
              </w:r>
            </w:hyperlink>
            <w:r>
              <w:rPr>
                <w:rFonts w:ascii="Arial" w:cs="Arial" w:eastAsia="Arial" w:hAnsi="Arial"/>
                <w:sz w:val="18"/>
                <w:szCs w:val="18"/>
                <w:u w:val="single" w:color="auto"/>
                <w:color w:val="0000FF"/>
              </w:rPr>
              <w:t xml:space="preserve">30, </w:t>
            </w:r>
            <w:hyperlink w:anchor="page70">
              <w:r>
                <w:rPr>
                  <w:rFonts w:ascii="Arial" w:cs="Arial" w:eastAsia="Arial" w:hAnsi="Arial"/>
                  <w:sz w:val="18"/>
                  <w:szCs w:val="18"/>
                  <w:u w:val="single" w:color="auto"/>
                  <w:color w:val="0000FF"/>
                </w:rPr>
                <w:t>2018</w:t>
              </w:r>
            </w:hyperlink>
          </w:p>
        </w:tc>
        <w:tc>
          <w:tcPr>
            <w:tcW w:w="100" w:type="dxa"/>
            <w:vAlign w:val="bottom"/>
          </w:tcPr>
          <w:p>
            <w:pPr>
              <w:spacing w:after="0"/>
              <w:rPr>
                <w:sz w:val="18"/>
                <w:szCs w:val="18"/>
                <w:color w:val="auto"/>
              </w:rPr>
            </w:pPr>
          </w:p>
        </w:tc>
        <w:tc>
          <w:tcPr>
            <w:tcW w:w="240" w:type="dxa"/>
            <w:vAlign w:val="bottom"/>
            <w:gridSpan w:val="2"/>
          </w:tcPr>
          <w:p>
            <w:pPr>
              <w:jc w:val="right"/>
              <w:spacing w:after="0"/>
              <w:rPr>
                <w:rFonts w:ascii="Arial" w:cs="Arial" w:eastAsia="Arial" w:hAnsi="Arial"/>
                <w:sz w:val="18"/>
                <w:szCs w:val="18"/>
                <w:color w:val="0000FF"/>
                <w:w w:val="81"/>
              </w:rPr>
            </w:pPr>
            <w:r>
              <w:rPr>
                <w:rFonts w:ascii="Arial" w:cs="Arial" w:eastAsia="Arial" w:hAnsi="Arial"/>
                <w:sz w:val="18"/>
                <w:szCs w:val="18"/>
                <w:color w:val="0000FF"/>
                <w:w w:val="81"/>
              </w:rPr>
              <w:t>F-</w:t>
            </w:r>
            <w:hyperlink w:anchor="page70">
              <w:r>
                <w:rPr>
                  <w:rFonts w:ascii="Arial" w:cs="Arial" w:eastAsia="Arial" w:hAnsi="Arial"/>
                  <w:sz w:val="18"/>
                  <w:szCs w:val="18"/>
                  <w:color w:val="0000FF"/>
                  <w:w w:val="81"/>
                </w:rPr>
                <w:t>6</w:t>
              </w:r>
            </w:hyperlink>
          </w:p>
        </w:tc>
        <w:tc>
          <w:tcPr>
            <w:tcW w:w="0" w:type="dxa"/>
            <w:vAlign w:val="bottom"/>
          </w:tcPr>
          <w:p>
            <w:pPr>
              <w:spacing w:after="0"/>
              <w:rPr>
                <w:sz w:val="1"/>
                <w:szCs w:val="1"/>
                <w:color w:val="auto"/>
              </w:rPr>
            </w:pPr>
          </w:p>
        </w:tc>
      </w:tr>
      <w:tr>
        <w:trPr>
          <w:trHeight w:val="20"/>
        </w:trPr>
        <w:tc>
          <w:tcPr>
            <w:tcW w:w="10820" w:type="dxa"/>
            <w:vAlign w:val="bottom"/>
            <w:gridSpan w:val="6"/>
            <w:vMerge w:val="restart"/>
          </w:tcPr>
          <w:p>
            <w:pPr>
              <w:spacing w:after="0"/>
              <w:rPr>
                <w:rFonts w:ascii="Arial" w:cs="Arial" w:eastAsia="Arial" w:hAnsi="Arial"/>
                <w:sz w:val="18"/>
                <w:szCs w:val="18"/>
                <w:u w:val="single" w:color="auto"/>
                <w:color w:val="0000FF"/>
                <w:w w:val="95"/>
              </w:rPr>
            </w:pPr>
            <w:hyperlink w:anchor="page71">
              <w:r>
                <w:rPr>
                  <w:rFonts w:ascii="Arial" w:cs="Arial" w:eastAsia="Arial" w:hAnsi="Arial"/>
                  <w:sz w:val="18"/>
                  <w:szCs w:val="18"/>
                  <w:u w:val="single" w:color="auto"/>
                  <w:color w:val="0000FF"/>
                  <w:w w:val="95"/>
                </w:rPr>
                <w:t>Consolidated Statements of Comprehensive Income (Loss) for the Years Ended December 27, 2020, December 29, 2019, and December 30,</w:t>
              </w:r>
            </w:hyperlink>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20" w:type="dxa"/>
            <w:vAlign w:val="bottom"/>
            <w:gridSpan w:val="6"/>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gridSpan w:val="2"/>
            <w:vMerge w:val="restart"/>
          </w:tcPr>
          <w:p>
            <w:pPr>
              <w:jc w:val="right"/>
              <w:spacing w:after="0"/>
              <w:rPr>
                <w:rFonts w:ascii="Arial" w:cs="Arial" w:eastAsia="Arial" w:hAnsi="Arial"/>
                <w:sz w:val="18"/>
                <w:szCs w:val="18"/>
                <w:color w:val="0000FF"/>
                <w:w w:val="81"/>
              </w:rPr>
            </w:pPr>
            <w:r>
              <w:rPr>
                <w:rFonts w:ascii="Arial" w:cs="Arial" w:eastAsia="Arial" w:hAnsi="Arial"/>
                <w:sz w:val="18"/>
                <w:szCs w:val="18"/>
                <w:color w:val="0000FF"/>
                <w:w w:val="81"/>
              </w:rPr>
              <w:t>F-</w:t>
            </w:r>
            <w:hyperlink w:anchor="page71">
              <w:r>
                <w:rPr>
                  <w:rFonts w:ascii="Arial" w:cs="Arial" w:eastAsia="Arial" w:hAnsi="Arial"/>
                  <w:sz w:val="18"/>
                  <w:szCs w:val="18"/>
                  <w:color w:val="0000FF"/>
                  <w:w w:val="81"/>
                </w:rPr>
                <w:t>7</w:t>
              </w:r>
            </w:hyperlink>
          </w:p>
        </w:tc>
        <w:tc>
          <w:tcPr>
            <w:tcW w:w="0" w:type="dxa"/>
            <w:vAlign w:val="bottom"/>
          </w:tcPr>
          <w:p>
            <w:pPr>
              <w:spacing w:after="0"/>
              <w:rPr>
                <w:sz w:val="1"/>
                <w:szCs w:val="1"/>
                <w:color w:val="auto"/>
              </w:rPr>
            </w:pPr>
          </w:p>
        </w:tc>
      </w:tr>
      <w:tr>
        <w:trPr>
          <w:trHeight w:val="189"/>
        </w:trPr>
        <w:tc>
          <w:tcPr>
            <w:tcW w:w="360" w:type="dxa"/>
            <w:vAlign w:val="bottom"/>
          </w:tcPr>
          <w:p>
            <w:pPr>
              <w:spacing w:after="0" w:line="189" w:lineRule="exact"/>
              <w:rPr>
                <w:rFonts w:ascii="Arial" w:cs="Arial" w:eastAsia="Arial" w:hAnsi="Arial"/>
                <w:sz w:val="18"/>
                <w:szCs w:val="18"/>
                <w:color w:val="0000FF"/>
                <w:w w:val="84"/>
              </w:rPr>
            </w:pPr>
            <w:hyperlink w:anchor="page71">
              <w:r>
                <w:rPr>
                  <w:rFonts w:ascii="Arial" w:cs="Arial" w:eastAsia="Arial" w:hAnsi="Arial"/>
                  <w:sz w:val="18"/>
                  <w:szCs w:val="18"/>
                  <w:color w:val="0000FF"/>
                  <w:w w:val="84"/>
                </w:rPr>
                <w:t>2018</w:t>
              </w:r>
            </w:hyperlink>
          </w:p>
        </w:tc>
        <w:tc>
          <w:tcPr>
            <w:tcW w:w="3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20" w:type="dxa"/>
            <w:vAlign w:val="bottom"/>
            <w:gridSpan w:val="6"/>
          </w:tcPr>
          <w:p>
            <w:pPr>
              <w:spacing w:after="0"/>
              <w:rPr>
                <w:rFonts w:ascii="Arial" w:cs="Arial" w:eastAsia="Arial" w:hAnsi="Arial"/>
                <w:sz w:val="18"/>
                <w:szCs w:val="18"/>
                <w:u w:val="single" w:color="auto"/>
                <w:color w:val="0000FF"/>
                <w:w w:val="99"/>
              </w:rPr>
            </w:pPr>
            <w:hyperlink w:anchor="page72">
              <w:r>
                <w:rPr>
                  <w:rFonts w:ascii="Arial" w:cs="Arial" w:eastAsia="Arial" w:hAnsi="Arial"/>
                  <w:sz w:val="18"/>
                  <w:szCs w:val="18"/>
                  <w:u w:val="single" w:color="auto"/>
                  <w:color w:val="0000FF"/>
                  <w:w w:val="99"/>
                </w:rPr>
                <w:t xml:space="preserve">Consolidated Statements of Stockholders’ Equity for the Years Ended December 27, </w:t>
              </w:r>
            </w:hyperlink>
            <w:r>
              <w:rPr>
                <w:rFonts w:ascii="Arial" w:cs="Arial" w:eastAsia="Arial" w:hAnsi="Arial"/>
                <w:sz w:val="18"/>
                <w:szCs w:val="18"/>
                <w:u w:val="single" w:color="auto"/>
                <w:color w:val="0000FF"/>
                <w:w w:val="99"/>
              </w:rPr>
              <w:t xml:space="preserve">2020, </w:t>
            </w:r>
            <w:hyperlink w:anchor="page72">
              <w:r>
                <w:rPr>
                  <w:rFonts w:ascii="Arial" w:cs="Arial" w:eastAsia="Arial" w:hAnsi="Arial"/>
                  <w:sz w:val="18"/>
                  <w:szCs w:val="18"/>
                  <w:u w:val="single" w:color="auto"/>
                  <w:color w:val="0000FF"/>
                  <w:w w:val="99"/>
                </w:rPr>
                <w:t xml:space="preserve">December 29, </w:t>
              </w:r>
            </w:hyperlink>
            <w:r>
              <w:rPr>
                <w:rFonts w:ascii="Arial" w:cs="Arial" w:eastAsia="Arial" w:hAnsi="Arial"/>
                <w:sz w:val="18"/>
                <w:szCs w:val="18"/>
                <w:u w:val="single" w:color="auto"/>
                <w:color w:val="0000FF"/>
                <w:w w:val="99"/>
              </w:rPr>
              <w:t xml:space="preserve">2019, </w:t>
            </w:r>
            <w:hyperlink w:anchor="page72">
              <w:r>
                <w:rPr>
                  <w:rFonts w:ascii="Arial" w:cs="Arial" w:eastAsia="Arial" w:hAnsi="Arial"/>
                  <w:sz w:val="18"/>
                  <w:szCs w:val="18"/>
                  <w:u w:val="single" w:color="auto"/>
                  <w:color w:val="0000FF"/>
                  <w:w w:val="99"/>
                </w:rPr>
                <w:t xml:space="preserve">and December </w:t>
              </w:r>
            </w:hyperlink>
            <w:r>
              <w:rPr>
                <w:rFonts w:ascii="Arial" w:cs="Arial" w:eastAsia="Arial" w:hAnsi="Arial"/>
                <w:sz w:val="18"/>
                <w:szCs w:val="18"/>
                <w:u w:val="single" w:color="auto"/>
                <w:color w:val="0000FF"/>
                <w:w w:val="99"/>
              </w:rPr>
              <w:t xml:space="preserve">30, </w:t>
            </w:r>
            <w:hyperlink w:anchor="page72">
              <w:r>
                <w:rPr>
                  <w:rFonts w:ascii="Arial" w:cs="Arial" w:eastAsia="Arial" w:hAnsi="Arial"/>
                  <w:sz w:val="18"/>
                  <w:szCs w:val="18"/>
                  <w:u w:val="single" w:color="auto"/>
                  <w:color w:val="0000FF"/>
                  <w:w w:val="99"/>
                </w:rPr>
                <w:t>2018</w:t>
              </w:r>
            </w:hyperlink>
          </w:p>
        </w:tc>
        <w:tc>
          <w:tcPr>
            <w:tcW w:w="100" w:type="dxa"/>
            <w:vAlign w:val="bottom"/>
          </w:tcPr>
          <w:p>
            <w:pPr>
              <w:spacing w:after="0"/>
              <w:rPr>
                <w:sz w:val="18"/>
                <w:szCs w:val="18"/>
                <w:color w:val="auto"/>
              </w:rPr>
            </w:pPr>
          </w:p>
        </w:tc>
        <w:tc>
          <w:tcPr>
            <w:tcW w:w="240" w:type="dxa"/>
            <w:vAlign w:val="bottom"/>
            <w:tcBorders>
              <w:bottom w:val="single" w:sz="8" w:color="0000FF"/>
            </w:tcBorders>
            <w:gridSpan w:val="2"/>
          </w:tcPr>
          <w:p>
            <w:pPr>
              <w:jc w:val="right"/>
              <w:spacing w:after="0"/>
              <w:rPr>
                <w:rFonts w:ascii="Arial" w:cs="Arial" w:eastAsia="Arial" w:hAnsi="Arial"/>
                <w:sz w:val="18"/>
                <w:szCs w:val="18"/>
                <w:color w:val="0000FF"/>
                <w:w w:val="81"/>
              </w:rPr>
            </w:pPr>
            <w:r>
              <w:rPr>
                <w:rFonts w:ascii="Arial" w:cs="Arial" w:eastAsia="Arial" w:hAnsi="Arial"/>
                <w:sz w:val="18"/>
                <w:szCs w:val="18"/>
                <w:color w:val="0000FF"/>
                <w:w w:val="81"/>
              </w:rPr>
              <w:t>F-</w:t>
            </w:r>
            <w:hyperlink w:anchor="page72">
              <w:r>
                <w:rPr>
                  <w:rFonts w:ascii="Arial" w:cs="Arial" w:eastAsia="Arial" w:hAnsi="Arial"/>
                  <w:sz w:val="18"/>
                  <w:szCs w:val="18"/>
                  <w:color w:val="0000FF"/>
                  <w:w w:val="81"/>
                </w:rPr>
                <w:t>8</w:t>
              </w:r>
            </w:hyperlink>
          </w:p>
        </w:tc>
        <w:tc>
          <w:tcPr>
            <w:tcW w:w="0" w:type="dxa"/>
            <w:vAlign w:val="bottom"/>
          </w:tcPr>
          <w:p>
            <w:pPr>
              <w:spacing w:after="0"/>
              <w:rPr>
                <w:sz w:val="1"/>
                <w:szCs w:val="1"/>
                <w:color w:val="auto"/>
              </w:rPr>
            </w:pPr>
          </w:p>
        </w:tc>
      </w:tr>
      <w:tr>
        <w:trPr>
          <w:trHeight w:val="209"/>
        </w:trPr>
        <w:tc>
          <w:tcPr>
            <w:tcW w:w="10820" w:type="dxa"/>
            <w:vAlign w:val="bottom"/>
            <w:gridSpan w:val="6"/>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 xml:space="preserve">Consolidated Statements of Cash Flows for the Years Ended December </w:t>
              </w:r>
            </w:hyperlink>
            <w:r>
              <w:rPr>
                <w:rFonts w:ascii="Arial" w:cs="Arial" w:eastAsia="Arial" w:hAnsi="Arial"/>
                <w:sz w:val="18"/>
                <w:szCs w:val="18"/>
                <w:color w:val="0000FF"/>
              </w:rPr>
              <w:t>27</w:t>
            </w:r>
            <w:hyperlink w:anchor="page73">
              <w:r>
                <w:rPr>
                  <w:rFonts w:ascii="Arial" w:cs="Arial" w:eastAsia="Arial" w:hAnsi="Arial"/>
                  <w:sz w:val="18"/>
                  <w:szCs w:val="18"/>
                  <w:color w:val="0000FF"/>
                </w:rPr>
                <w:t xml:space="preserve">, </w:t>
              </w:r>
            </w:hyperlink>
            <w:r>
              <w:rPr>
                <w:rFonts w:ascii="Arial" w:cs="Arial" w:eastAsia="Arial" w:hAnsi="Arial"/>
                <w:sz w:val="18"/>
                <w:szCs w:val="18"/>
                <w:u w:val="single" w:color="auto"/>
                <w:color w:val="0000FF"/>
              </w:rPr>
              <w:t>2020,</w:t>
            </w:r>
            <w:r>
              <w:rPr>
                <w:rFonts w:ascii="Arial" w:cs="Arial" w:eastAsia="Arial" w:hAnsi="Arial"/>
                <w:sz w:val="18"/>
                <w:szCs w:val="18"/>
                <w:color w:val="0000FF"/>
              </w:rPr>
              <w:t xml:space="preserve"> </w:t>
            </w:r>
            <w:hyperlink w:anchor="page73">
              <w:r>
                <w:rPr>
                  <w:rFonts w:ascii="Arial" w:cs="Arial" w:eastAsia="Arial" w:hAnsi="Arial"/>
                  <w:sz w:val="18"/>
                  <w:szCs w:val="18"/>
                  <w:u w:val="single" w:color="auto"/>
                  <w:color w:val="0000FF"/>
                </w:rPr>
                <w:t xml:space="preserve">December 29, </w:t>
              </w:r>
            </w:hyperlink>
            <w:r>
              <w:rPr>
                <w:rFonts w:ascii="Arial" w:cs="Arial" w:eastAsia="Arial" w:hAnsi="Arial"/>
                <w:sz w:val="18"/>
                <w:szCs w:val="18"/>
                <w:color w:val="0000FF"/>
              </w:rPr>
              <w:t xml:space="preserve">2019, </w:t>
            </w:r>
            <w:hyperlink w:anchor="page73">
              <w:r>
                <w:rPr>
                  <w:rFonts w:ascii="Arial" w:cs="Arial" w:eastAsia="Arial" w:hAnsi="Arial"/>
                  <w:sz w:val="18"/>
                  <w:szCs w:val="18"/>
                  <w:u w:val="single" w:color="auto"/>
                  <w:color w:val="0000FF"/>
                </w:rPr>
                <w:t xml:space="preserve">and December </w:t>
              </w:r>
            </w:hyperlink>
            <w:r>
              <w:rPr>
                <w:rFonts w:ascii="Arial" w:cs="Arial" w:eastAsia="Arial" w:hAnsi="Arial"/>
                <w:sz w:val="18"/>
                <w:szCs w:val="18"/>
                <w:color w:val="0000FF"/>
              </w:rPr>
              <w:t xml:space="preserve">30, </w:t>
            </w:r>
            <w:hyperlink w:anchor="page73">
              <w:r>
                <w:rPr>
                  <w:rFonts w:ascii="Arial" w:cs="Arial" w:eastAsia="Arial" w:hAnsi="Arial"/>
                  <w:sz w:val="18"/>
                  <w:szCs w:val="18"/>
                  <w:u w:val="single" w:color="auto"/>
                  <w:color w:val="0000FF"/>
                </w:rPr>
                <w:t>2018</w:t>
              </w:r>
            </w:hyperlink>
          </w:p>
        </w:tc>
        <w:tc>
          <w:tcPr>
            <w:tcW w:w="100" w:type="dxa"/>
            <w:vAlign w:val="bottom"/>
          </w:tcPr>
          <w:p>
            <w:pPr>
              <w:spacing w:after="0"/>
              <w:rPr>
                <w:sz w:val="18"/>
                <w:szCs w:val="18"/>
                <w:color w:val="auto"/>
              </w:rPr>
            </w:pPr>
          </w:p>
        </w:tc>
        <w:tc>
          <w:tcPr>
            <w:tcW w:w="240" w:type="dxa"/>
            <w:vAlign w:val="bottom"/>
            <w:gridSpan w:val="2"/>
          </w:tcPr>
          <w:p>
            <w:pPr>
              <w:jc w:val="right"/>
              <w:spacing w:after="0"/>
              <w:rPr>
                <w:rFonts w:ascii="Arial" w:cs="Arial" w:eastAsia="Arial" w:hAnsi="Arial"/>
                <w:sz w:val="18"/>
                <w:szCs w:val="18"/>
                <w:color w:val="0000FF"/>
                <w:w w:val="81"/>
              </w:rPr>
            </w:pPr>
            <w:r>
              <w:rPr>
                <w:rFonts w:ascii="Arial" w:cs="Arial" w:eastAsia="Arial" w:hAnsi="Arial"/>
                <w:sz w:val="18"/>
                <w:szCs w:val="18"/>
                <w:color w:val="0000FF"/>
                <w:w w:val="81"/>
              </w:rPr>
              <w:t>F-</w:t>
            </w:r>
            <w:hyperlink w:anchor="page73">
              <w:r>
                <w:rPr>
                  <w:rFonts w:ascii="Arial" w:cs="Arial" w:eastAsia="Arial" w:hAnsi="Arial"/>
                  <w:sz w:val="18"/>
                  <w:szCs w:val="18"/>
                  <w:color w:val="0000FF"/>
                  <w:w w:val="81"/>
                </w:rPr>
                <w:t>9</w:t>
              </w:r>
            </w:hyperlink>
          </w:p>
        </w:tc>
        <w:tc>
          <w:tcPr>
            <w:tcW w:w="0" w:type="dxa"/>
            <w:vAlign w:val="bottom"/>
          </w:tcPr>
          <w:p>
            <w:pPr>
              <w:spacing w:after="0"/>
              <w:rPr>
                <w:sz w:val="1"/>
                <w:szCs w:val="1"/>
                <w:color w:val="auto"/>
              </w:rPr>
            </w:pPr>
          </w:p>
        </w:tc>
      </w:tr>
      <w:tr>
        <w:trPr>
          <w:trHeight w:val="20"/>
        </w:trPr>
        <w:tc>
          <w:tcPr>
            <w:tcW w:w="5360" w:type="dxa"/>
            <w:vAlign w:val="bottom"/>
            <w:gridSpan w:val="5"/>
            <w:shd w:val="clear" w:color="auto" w:fill="0000FF"/>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60" w:type="dxa"/>
            <w:vAlign w:val="bottom"/>
            <w:gridSpan w:val="5"/>
          </w:tcPr>
          <w:p>
            <w:pPr>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Notes to Consolidated Financial Statements</w:t>
              </w:r>
            </w:hyperlink>
          </w:p>
        </w:tc>
        <w:tc>
          <w:tcPr>
            <w:tcW w:w="5460" w:type="dxa"/>
            <w:vAlign w:val="bottom"/>
          </w:tcPr>
          <w:p>
            <w:pPr>
              <w:spacing w:after="0"/>
              <w:rPr>
                <w:sz w:val="18"/>
                <w:szCs w:val="18"/>
                <w:color w:val="auto"/>
              </w:rPr>
            </w:pPr>
          </w:p>
        </w:tc>
        <w:tc>
          <w:tcPr>
            <w:tcW w:w="340" w:type="dxa"/>
            <w:vAlign w:val="bottom"/>
            <w:tcBorders>
              <w:bottom w:val="single" w:sz="8" w:color="0000FF"/>
            </w:tcBorders>
            <w:gridSpan w:val="3"/>
          </w:tcPr>
          <w:p>
            <w:pPr>
              <w:jc w:val="right"/>
              <w:spacing w:after="0"/>
              <w:rPr>
                <w:rFonts w:ascii="Arial" w:cs="Arial" w:eastAsia="Arial" w:hAnsi="Arial"/>
                <w:sz w:val="18"/>
                <w:szCs w:val="18"/>
                <w:color w:val="0000FF"/>
                <w:w w:val="86"/>
              </w:rPr>
            </w:pPr>
            <w:r>
              <w:rPr>
                <w:rFonts w:ascii="Arial" w:cs="Arial" w:eastAsia="Arial" w:hAnsi="Arial"/>
                <w:sz w:val="18"/>
                <w:szCs w:val="18"/>
                <w:color w:val="0000FF"/>
                <w:w w:val="86"/>
              </w:rPr>
              <w:t>F-</w:t>
            </w:r>
            <w:hyperlink w:anchor="page74">
              <w:r>
                <w:rPr>
                  <w:rFonts w:ascii="Arial" w:cs="Arial" w:eastAsia="Arial" w:hAnsi="Arial"/>
                  <w:sz w:val="18"/>
                  <w:szCs w:val="18"/>
                  <w:color w:val="0000FF"/>
                  <w:w w:val="86"/>
                </w:rPr>
                <w:t>10</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134" w:right="37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Kratos Defense &amp; Security Solutions, Inc.</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Opinions on the Financial Statements and Internal Control over Financial Reporting</w:t>
      </w:r>
    </w:p>
    <w:p>
      <w:pPr>
        <w:spacing w:after="0" w:line="17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We have audited the accompanying consolidated balance sheets of Kratos Defense &amp; Security Solutions, Inc. and subsidiaries (the "Company") as of December 27, 2020 and December 29, 2019, and the related consolidated statements of operations and comprehensive income (loss), stockholders’ equity, and cash flows, for each of the three fiscal years in the period ended December 27, 2020, and the related notes (collectively referred to as the "financial statements"). We also have audited the Company’s internal control over financial reporting as of December 27, 2020,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w:t>
      </w:r>
    </w:p>
    <w:p>
      <w:pPr>
        <w:spacing w:after="0" w:line="137" w:lineRule="exact"/>
        <w:rPr>
          <w:sz w:val="20"/>
          <w:szCs w:val="20"/>
          <w:color w:val="auto"/>
        </w:rPr>
      </w:pPr>
    </w:p>
    <w:p>
      <w:pPr>
        <w:ind w:right="120"/>
        <w:spacing w:after="0" w:line="278" w:lineRule="auto"/>
        <w:rPr>
          <w:sz w:val="20"/>
          <w:szCs w:val="20"/>
          <w:color w:val="auto"/>
        </w:rPr>
      </w:pPr>
      <w:r>
        <w:rPr>
          <w:rFonts w:ascii="Arial" w:cs="Arial" w:eastAsia="Arial" w:hAnsi="Arial"/>
          <w:sz w:val="15"/>
          <w:szCs w:val="15"/>
          <w:color w:val="auto"/>
        </w:rPr>
        <w:t xml:space="preserve">In our opinion, the financial statements referred to above present fairly, in all material respects, the financial position of the Company as of December 27, 2020 and December 29, 2019, and the results of its operations and its cash flows for each of the three fiscal years in the period ended December 27, 2020, in conformity with accounting principles generally accepted in the United States of America. Also, in our opinion, the Company maintained, in all material respects, effective internal control over financial reporting as of December 27, 2020, based on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COSO.</w:t>
      </w:r>
    </w:p>
    <w:p>
      <w:pPr>
        <w:spacing w:after="0" w:line="119"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As described in Management’s Report on Internal Control over Financial Reporting, management excluded from its assessment the internal control over financial reporting at ASC Signal, which was acquired on June 30, 2020, and is now included in the KSTC Division, and whose financial statements constitute approximately 1.0% of total assets, and approximately 2.9% of revenues of the consolidated financial statement amounts as of and for the year ended December 27, 2020. Accordingly, our audit did not include the internal control over financial reporting at ASC Signal.</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Adoption of New Accounting Pronouncement</w:t>
      </w:r>
    </w:p>
    <w:p>
      <w:pPr>
        <w:spacing w:after="0" w:line="171" w:lineRule="exact"/>
        <w:rPr>
          <w:sz w:val="20"/>
          <w:szCs w:val="20"/>
          <w:color w:val="auto"/>
        </w:rPr>
      </w:pPr>
    </w:p>
    <w:p>
      <w:pPr>
        <w:ind w:right="320"/>
        <w:spacing w:after="0" w:line="349" w:lineRule="auto"/>
        <w:rPr>
          <w:sz w:val="20"/>
          <w:szCs w:val="20"/>
          <w:color w:val="auto"/>
        </w:rPr>
      </w:pPr>
      <w:r>
        <w:rPr>
          <w:rFonts w:ascii="Arial" w:cs="Arial" w:eastAsia="Arial" w:hAnsi="Arial"/>
          <w:sz w:val="14"/>
          <w:szCs w:val="14"/>
          <w:color w:val="auto"/>
        </w:rPr>
        <w:t xml:space="preserve">As discussed in Note 1 to the financial statements, the Company adopted ASU 2016-02, </w:t>
      </w:r>
      <w:r>
        <w:rPr>
          <w:rFonts w:ascii="Arial" w:cs="Arial" w:eastAsia="Arial" w:hAnsi="Arial"/>
          <w:sz w:val="14"/>
          <w:szCs w:val="14"/>
          <w:i w:val="1"/>
          <w:iCs w:val="1"/>
          <w:color w:val="auto"/>
        </w:rPr>
        <w:t>Leases</w:t>
      </w:r>
      <w:r>
        <w:rPr>
          <w:rFonts w:ascii="Arial" w:cs="Arial" w:eastAsia="Arial" w:hAnsi="Arial"/>
          <w:sz w:val="14"/>
          <w:szCs w:val="14"/>
          <w:color w:val="auto"/>
        </w:rPr>
        <w:t>, and has changed its method of accounting for leases using the optional transition method beginning December 31, 2018, relating to the manner in which it recognizes assets and liabilities for the rights and obligations underlying leases.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Opinions</w:t>
      </w:r>
    </w:p>
    <w:p>
      <w:pPr>
        <w:spacing w:after="0" w:line="171" w:lineRule="exact"/>
        <w:rPr>
          <w:sz w:val="20"/>
          <w:szCs w:val="20"/>
          <w:color w:val="auto"/>
        </w:rPr>
      </w:pPr>
    </w:p>
    <w:p>
      <w:pPr>
        <w:ind w:right="40"/>
        <w:spacing w:after="0" w:line="298" w:lineRule="auto"/>
        <w:rPr>
          <w:sz w:val="20"/>
          <w:szCs w:val="20"/>
          <w:color w:val="auto"/>
        </w:rPr>
      </w:pPr>
      <w:r>
        <w:rPr>
          <w:rFonts w:ascii="Arial" w:cs="Arial" w:eastAsia="Arial" w:hAnsi="Arial"/>
          <w:sz w:val="14"/>
          <w:szCs w:val="14"/>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29" w:lineRule="exact"/>
        <w:rPr>
          <w:sz w:val="20"/>
          <w:szCs w:val="20"/>
          <w:color w:val="auto"/>
        </w:rPr>
      </w:pPr>
    </w:p>
    <w:p>
      <w:pPr>
        <w:ind w:right="20"/>
        <w:spacing w:after="0" w:line="295" w:lineRule="auto"/>
        <w:rPr>
          <w:sz w:val="20"/>
          <w:szCs w:val="20"/>
          <w:color w:val="auto"/>
        </w:rPr>
      </w:pPr>
      <w:r>
        <w:rPr>
          <w:rFonts w:ascii="Arial" w:cs="Arial" w:eastAsia="Arial" w:hAnsi="Arial"/>
          <w:sz w:val="14"/>
          <w:szCs w:val="14"/>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7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color w:val="auto"/>
        </w:rPr>
        <w:t>Critical Audit Matters</w:t>
      </w:r>
    </w:p>
    <w:p>
      <w:pPr>
        <w:spacing w:after="0" w:line="171" w:lineRule="exact"/>
        <w:rPr>
          <w:sz w:val="20"/>
          <w:szCs w:val="20"/>
          <w:color w:val="auto"/>
        </w:rPr>
      </w:pPr>
    </w:p>
    <w:p>
      <w:pPr>
        <w:ind w:right="140"/>
        <w:spacing w:after="0" w:line="304" w:lineRule="auto"/>
        <w:rPr>
          <w:sz w:val="20"/>
          <w:szCs w:val="20"/>
          <w:color w:val="auto"/>
        </w:rPr>
      </w:pPr>
      <w:r>
        <w:rPr>
          <w:rFonts w:ascii="Arial" w:cs="Arial" w:eastAsia="Arial" w:hAnsi="Arial"/>
          <w:sz w:val="14"/>
          <w:szCs w:val="14"/>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spacing w:after="0" w:line="102" w:lineRule="exact"/>
        <w:rPr>
          <w:sz w:val="20"/>
          <w:szCs w:val="20"/>
          <w:color w:val="auto"/>
        </w:rPr>
      </w:pPr>
    </w:p>
    <w:p>
      <w:pPr>
        <w:ind w:right="4640"/>
        <w:spacing w:after="0" w:line="422" w:lineRule="auto"/>
        <w:rPr>
          <w:sz w:val="20"/>
          <w:szCs w:val="20"/>
          <w:color w:val="auto"/>
        </w:rPr>
      </w:pPr>
      <w:r>
        <w:rPr>
          <w:rFonts w:ascii="Arial" w:cs="Arial" w:eastAsia="Arial" w:hAnsi="Arial"/>
          <w:sz w:val="16"/>
          <w:szCs w:val="16"/>
          <w:b w:val="1"/>
          <w:bCs w:val="1"/>
          <w:i w:val="1"/>
          <w:iCs w:val="1"/>
          <w:color w:val="auto"/>
        </w:rPr>
        <w:t xml:space="preserve">Cost Estimates for Fixed-Price Contracts - Refer to Note 1 to the consolidated financial statements </w:t>
      </w:r>
      <w:r>
        <w:rPr>
          <w:rFonts w:ascii="Arial" w:cs="Arial" w:eastAsia="Arial" w:hAnsi="Arial"/>
          <w:sz w:val="16"/>
          <w:szCs w:val="16"/>
          <w:i w:val="1"/>
          <w:iCs w:val="1"/>
          <w:color w:val="auto"/>
        </w:rPr>
        <w:t>Critical Audit Matter Description</w:t>
      </w:r>
    </w:p>
    <w:p>
      <w:pPr>
        <w:spacing w:after="0" w:line="1" w:lineRule="exact"/>
        <w:rPr>
          <w:sz w:val="20"/>
          <w:szCs w:val="20"/>
          <w:color w:val="auto"/>
        </w:rPr>
      </w:pPr>
    </w:p>
    <w:p>
      <w:pPr>
        <w:jc w:val="both"/>
        <w:ind w:right="120"/>
        <w:spacing w:after="0" w:line="315" w:lineRule="auto"/>
        <w:rPr>
          <w:sz w:val="20"/>
          <w:szCs w:val="20"/>
          <w:color w:val="auto"/>
        </w:rPr>
      </w:pPr>
      <w:r>
        <w:rPr>
          <w:rFonts w:ascii="Arial" w:cs="Arial" w:eastAsia="Arial" w:hAnsi="Arial"/>
          <w:sz w:val="14"/>
          <w:szCs w:val="14"/>
          <w:color w:val="auto"/>
        </w:rPr>
        <w:t>The Company recognizes revenue over time using the cost-to-cost method (cost incurred relative to total estimated cost at completion) for most of its fixed-price contracts. Management must make various assumptions and estimates regarding technical, schedule and cost aspects of these contracts to develop estimates of cost at completion. A significant change in cost estimates could affect the overall profitability and timing of revenue recognition related to one or more of its fixed price contracts.</w:t>
      </w:r>
    </w:p>
    <w:p>
      <w:pPr>
        <w:spacing w:after="0" w:line="17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Given the complexity of certain of the Company’s fixed-price contracts, the limited amount of historical activity in certain instances, and significant judgment and estimates necessary to estimate future costs and margin at completion, auditing these estimates involved especially subjective judgment.</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Our auditing procedures related to the cost estimates for fixed-price contracts included the following:</w:t>
      </w:r>
    </w:p>
    <w:p>
      <w:pPr>
        <w:spacing w:after="0" w:line="73" w:lineRule="exact"/>
        <w:rPr>
          <w:sz w:val="20"/>
          <w:szCs w:val="20"/>
          <w:color w:val="auto"/>
        </w:rPr>
      </w:pPr>
    </w:p>
    <w:p>
      <w:pPr>
        <w:ind w:left="300" w:right="20" w:hanging="252"/>
        <w:spacing w:after="0" w:line="250" w:lineRule="auto"/>
        <w:tabs>
          <w:tab w:leader="none" w:pos="295" w:val="left"/>
        </w:tabs>
        <w:numPr>
          <w:ilvl w:val="0"/>
          <w:numId w:val="32"/>
        </w:numPr>
        <w:rPr>
          <w:rFonts w:ascii="Arial" w:cs="Arial" w:eastAsia="Arial" w:hAnsi="Arial"/>
          <w:sz w:val="18"/>
          <w:szCs w:val="18"/>
          <w:color w:val="auto"/>
        </w:rPr>
      </w:pPr>
      <w:r>
        <w:rPr>
          <w:rFonts w:ascii="Arial" w:cs="Arial" w:eastAsia="Arial" w:hAnsi="Arial"/>
          <w:sz w:val="16"/>
          <w:szCs w:val="16"/>
          <w:color w:val="auto"/>
        </w:rPr>
        <w:t>We tested the effectiveness of internal controls over the development of cost estimates, including the underlying assumptions and key inputs into the development of the estimated cost at completion.</w:t>
      </w:r>
    </w:p>
    <w:p>
      <w:pPr>
        <w:spacing w:after="0" w:line="1" w:lineRule="exact"/>
        <w:rPr>
          <w:rFonts w:ascii="Arial" w:cs="Arial" w:eastAsia="Arial" w:hAnsi="Arial"/>
          <w:sz w:val="18"/>
          <w:szCs w:val="18"/>
          <w:color w:val="auto"/>
        </w:rPr>
      </w:pPr>
    </w:p>
    <w:p>
      <w:pPr>
        <w:ind w:left="280" w:hanging="232"/>
        <w:spacing w:after="0" w:line="234" w:lineRule="auto"/>
        <w:tabs>
          <w:tab w:leader="none" w:pos="280" w:val="left"/>
        </w:tabs>
        <w:numPr>
          <w:ilvl w:val="0"/>
          <w:numId w:val="32"/>
        </w:numPr>
        <w:rPr>
          <w:rFonts w:ascii="Arial" w:cs="Arial" w:eastAsia="Arial" w:hAnsi="Arial"/>
          <w:sz w:val="18"/>
          <w:szCs w:val="18"/>
          <w:color w:val="auto"/>
        </w:rPr>
      </w:pPr>
      <w:r>
        <w:rPr>
          <w:rFonts w:ascii="Arial" w:cs="Arial" w:eastAsia="Arial" w:hAnsi="Arial"/>
          <w:sz w:val="16"/>
          <w:szCs w:val="16"/>
          <w:color w:val="auto"/>
        </w:rPr>
        <w:t>We selected certain contracts for testing and performed the following procedures:</w:t>
      </w:r>
    </w:p>
    <w:p>
      <w:pPr>
        <w:spacing w:after="0" w:line="6" w:lineRule="exact"/>
        <w:rPr>
          <w:rFonts w:ascii="Arial" w:cs="Arial" w:eastAsia="Arial" w:hAnsi="Arial"/>
          <w:sz w:val="18"/>
          <w:szCs w:val="18"/>
          <w:color w:val="auto"/>
        </w:rPr>
      </w:pPr>
    </w:p>
    <w:p>
      <w:pPr>
        <w:ind w:left="500" w:right="360" w:hanging="168"/>
        <w:spacing w:after="0" w:line="249" w:lineRule="auto"/>
        <w:tabs>
          <w:tab w:leader="none" w:pos="432" w:val="left"/>
        </w:tabs>
        <w:numPr>
          <w:ilvl w:val="1"/>
          <w:numId w:val="32"/>
        </w:numPr>
        <w:rPr>
          <w:rFonts w:ascii="Arial" w:cs="Arial" w:eastAsia="Arial" w:hAnsi="Arial"/>
          <w:sz w:val="16"/>
          <w:szCs w:val="16"/>
          <w:color w:val="auto"/>
        </w:rPr>
      </w:pPr>
      <w:r>
        <w:rPr>
          <w:rFonts w:ascii="Arial" w:cs="Arial" w:eastAsia="Arial" w:hAnsi="Arial"/>
          <w:sz w:val="16"/>
          <w:szCs w:val="16"/>
          <w:color w:val="auto"/>
        </w:rPr>
        <w:t>Tested management’s identification of distinct performance obligations by evaluating whether the underlying goods and services were highly interdependent and interrelated.</w:t>
      </w:r>
    </w:p>
    <w:p>
      <w:pPr>
        <w:ind w:left="420" w:hanging="88"/>
        <w:spacing w:after="0"/>
        <w:tabs>
          <w:tab w:leader="none" w:pos="420" w:val="left"/>
        </w:tabs>
        <w:numPr>
          <w:ilvl w:val="1"/>
          <w:numId w:val="32"/>
        </w:numPr>
        <w:rPr>
          <w:rFonts w:ascii="Arial" w:cs="Arial" w:eastAsia="Arial" w:hAnsi="Arial"/>
          <w:sz w:val="14"/>
          <w:szCs w:val="14"/>
          <w:color w:val="auto"/>
        </w:rPr>
      </w:pPr>
      <w:r>
        <w:rPr>
          <w:rFonts w:ascii="Arial" w:cs="Arial" w:eastAsia="Arial" w:hAnsi="Arial"/>
          <w:sz w:val="14"/>
          <w:szCs w:val="14"/>
          <w:color w:val="auto"/>
        </w:rPr>
        <w:t>Evaluated the reasonableness of management’s estimates of cost at completion to actual costs and profits of similar previously completed contracts, when applicable.</w:t>
      </w:r>
    </w:p>
    <w:p>
      <w:pPr>
        <w:spacing w:after="0" w:line="28" w:lineRule="exact"/>
        <w:rPr>
          <w:rFonts w:ascii="Arial" w:cs="Arial" w:eastAsia="Arial" w:hAnsi="Arial"/>
          <w:sz w:val="14"/>
          <w:szCs w:val="14"/>
          <w:color w:val="auto"/>
        </w:rPr>
      </w:pPr>
    </w:p>
    <w:p>
      <w:pPr>
        <w:ind w:left="500" w:right="180" w:hanging="168"/>
        <w:spacing w:after="0" w:line="248" w:lineRule="auto"/>
        <w:tabs>
          <w:tab w:leader="none" w:pos="432" w:val="left"/>
        </w:tabs>
        <w:numPr>
          <w:ilvl w:val="1"/>
          <w:numId w:val="32"/>
        </w:numPr>
        <w:rPr>
          <w:rFonts w:ascii="Arial" w:cs="Arial" w:eastAsia="Arial" w:hAnsi="Arial"/>
          <w:sz w:val="16"/>
          <w:szCs w:val="16"/>
          <w:color w:val="auto"/>
        </w:rPr>
      </w:pPr>
      <w:r>
        <w:rPr>
          <w:rFonts w:ascii="Arial" w:cs="Arial" w:eastAsia="Arial" w:hAnsi="Arial"/>
          <w:sz w:val="16"/>
          <w:szCs w:val="16"/>
          <w:color w:val="auto"/>
        </w:rPr>
        <w:t>Performed inquiries of the Company’s project managers and others directly involved with the contracts to evaluate project status and project challenges, which may affect total estimated costs to complete.</w:t>
      </w:r>
    </w:p>
    <w:p>
      <w:pPr>
        <w:spacing w:after="0" w:line="1" w:lineRule="exact"/>
        <w:rPr>
          <w:rFonts w:ascii="Arial" w:cs="Arial" w:eastAsia="Arial" w:hAnsi="Arial"/>
          <w:sz w:val="16"/>
          <w:szCs w:val="16"/>
          <w:color w:val="auto"/>
        </w:rPr>
      </w:pPr>
    </w:p>
    <w:p>
      <w:pPr>
        <w:ind w:left="300" w:right="120" w:hanging="252"/>
        <w:spacing w:after="0" w:line="258" w:lineRule="auto"/>
        <w:tabs>
          <w:tab w:leader="none" w:pos="295" w:val="left"/>
        </w:tabs>
        <w:numPr>
          <w:ilvl w:val="0"/>
          <w:numId w:val="32"/>
        </w:numPr>
        <w:rPr>
          <w:rFonts w:ascii="Arial" w:cs="Arial" w:eastAsia="Arial" w:hAnsi="Arial"/>
          <w:sz w:val="18"/>
          <w:szCs w:val="18"/>
          <w:color w:val="auto"/>
        </w:rPr>
      </w:pPr>
      <w:r>
        <w:rPr>
          <w:rFonts w:ascii="Arial" w:cs="Arial" w:eastAsia="Arial" w:hAnsi="Arial"/>
          <w:sz w:val="16"/>
          <w:szCs w:val="16"/>
          <w:color w:val="auto"/>
        </w:rPr>
        <w:t>We performed retrospective reviews on selected contracts, comparing actual performance to estimated performance, when evaluating management’s ability to estimate costs.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 Impairment Analysis — Refer to Note 3 to the consolidated financial statements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Critical Audit Matter Description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goodwill balance at December 27, 2020 was $483.9 million which is allocated among various reporting units.</w:t>
      </w:r>
    </w:p>
    <w:p>
      <w:pPr>
        <w:spacing w:after="0" w:line="235"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The Company tests goodwill for impairment by first performing a qualitative assessment for each of its reporting units. If based on its qualitative assessment management determines it is not more likely than not that the fair value of a reporting unit exceeds its carrying value, a quantitative assessment is then performed. For a reporting unit where a quantitative assessment is performed, the identification and measurement of impairment involves the estimation of the fair value of the reporting unit. As part of its quantitative assessment, the Company estimates the fair value of the reporting unit based on a comparison and weighting of the income approach, specifically the discounted cash flow method, and the market approach.</w:t>
      </w:r>
    </w:p>
    <w:p>
      <w:pPr>
        <w:spacing w:after="0" w:line="216" w:lineRule="exact"/>
        <w:rPr>
          <w:sz w:val="20"/>
          <w:szCs w:val="20"/>
          <w:color w:val="auto"/>
        </w:rPr>
      </w:pPr>
    </w:p>
    <w:p>
      <w:pPr>
        <w:ind w:right="120"/>
        <w:spacing w:after="0" w:line="243" w:lineRule="auto"/>
        <w:rPr>
          <w:sz w:val="20"/>
          <w:szCs w:val="20"/>
          <w:color w:val="auto"/>
        </w:rPr>
      </w:pPr>
      <w:r>
        <w:rPr>
          <w:rFonts w:ascii="Arial" w:cs="Arial" w:eastAsia="Arial" w:hAnsi="Arial"/>
          <w:sz w:val="16"/>
          <w:szCs w:val="16"/>
          <w:color w:val="auto"/>
        </w:rPr>
        <w:t>Given the significant judgments made by management to estimate the fair value of each reporting unit that requires a quantitative assessment, including management’s judgments in forecasting future revenue, performing audit procedures to evaluate the reasonableness of management’s estimates and assumptions required a high degree of auditor judgment and an increased extent of effort.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Our audit procedures related to the determination of forecasts of future revenue used by management to estimate the fair value included the following, among others:</w:t>
      </w:r>
    </w:p>
    <w:p>
      <w:pPr>
        <w:spacing w:after="0" w:line="31" w:lineRule="exact"/>
        <w:rPr>
          <w:sz w:val="20"/>
          <w:szCs w:val="20"/>
          <w:color w:val="auto"/>
        </w:rPr>
      </w:pPr>
    </w:p>
    <w:p>
      <w:pPr>
        <w:ind w:left="340" w:right="120" w:hanging="332"/>
        <w:spacing w:after="0" w:line="246" w:lineRule="auto"/>
        <w:tabs>
          <w:tab w:leader="none" w:pos="329"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tested the effectiveness of internal controls over management’s goodwill impairment evaluation, including those over the determination of the fair value of the reporting units in situations where a quantitative assessment was performed. Such internal controls included controls over management’s determination of forecasts of future revenue.</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evaluated management’s ability to accurately forecast future revenue by comparing actual results to management’s historical forecasts.</w:t>
      </w:r>
    </w:p>
    <w:p>
      <w:pPr>
        <w:spacing w:after="0" w:line="5" w:lineRule="exact"/>
        <w:rPr>
          <w:rFonts w:ascii="Arial" w:cs="Arial" w:eastAsia="Arial" w:hAnsi="Arial"/>
          <w:sz w:val="16"/>
          <w:szCs w:val="16"/>
          <w:color w:val="auto"/>
        </w:rPr>
      </w:pPr>
    </w:p>
    <w:p>
      <w:pPr>
        <w:jc w:val="both"/>
        <w:ind w:left="340" w:right="400" w:hanging="332"/>
        <w:spacing w:after="0" w:line="328" w:lineRule="auto"/>
        <w:tabs>
          <w:tab w:leader="none" w:pos="329"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evaluated the reasonableness of management’s revenue forecasts by comparing the forecasts to (1) the historical operating results of the Company, (2) internal communications to management and the board of directors, (3) external communications made by management to analysts and investors, and (4) industry reports.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i w:val="1"/>
          <w:iCs w:val="1"/>
          <w:color w:val="auto"/>
        </w:rPr>
        <w:t>Income Taxes – Valuation Allowance — Refer to Note 8 to the consolidated financial statements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Critical Audit Matter Description</w:t>
      </w:r>
    </w:p>
    <w:p>
      <w:pPr>
        <w:spacing w:after="0" w:line="235" w:lineRule="exact"/>
        <w:rPr>
          <w:sz w:val="20"/>
          <w:szCs w:val="20"/>
          <w:color w:val="auto"/>
        </w:rPr>
      </w:pPr>
    </w:p>
    <w:p>
      <w:pPr>
        <w:ind w:right="40"/>
        <w:spacing w:after="0" w:line="329" w:lineRule="auto"/>
        <w:rPr>
          <w:sz w:val="20"/>
          <w:szCs w:val="20"/>
          <w:color w:val="auto"/>
        </w:rPr>
      </w:pPr>
      <w:r>
        <w:rPr>
          <w:rFonts w:ascii="Arial" w:cs="Arial" w:eastAsia="Arial" w:hAnsi="Arial"/>
          <w:sz w:val="14"/>
          <w:szCs w:val="14"/>
          <w:color w:val="auto"/>
        </w:rPr>
        <w:t>The Company’s deferred tax assets are reduced by a valuation allowance if, based on the weight of both positive and negative evidence, it is more likely than not that some portion or all of its deferred tax assets will not be realized. The Company maintained a full valuation allowance on its U.S. deferred tax assets as of the third quarter of 2020.</w:t>
      </w:r>
    </w:p>
    <w:p>
      <w:pPr>
        <w:spacing w:after="0" w:line="153"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During the fourth quarter of 2020, the Company reevaluated all available evidence, both positive and negative, to determine whether, based on the weight of that evidence, a valuation allowance for its deferred tax assets was still needed. Evidence evaluated by the Company included, but was not limited to, the fact that it is now in a three-year cumulative income position, the results and trend of pretax book income from core operations, and its forecast of taxable income. As a result of that reevaluation, the Company determined that it is now more likely than not that sufficient taxable income will exist to realize the majority of its U.S. deferred tax assets and reversed $81.2 million of the valuation allowance previously recorded against those deferred tax assets.</w:t>
      </w:r>
    </w:p>
    <w:p>
      <w:pPr>
        <w:spacing w:after="0" w:line="216"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Given the significant judgments made by management in determining whether it is more likely than not that sufficient taxable income will exist to realize its deferred tax assets, our audit procedures to assess the realizability of the Company’s deferred tax assets required a high degree of auditor judgment and an increased extent of audit effort, including the need to involve our income tax specialists.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235" w:lineRule="exact"/>
        <w:rPr>
          <w:sz w:val="20"/>
          <w:szCs w:val="20"/>
          <w:color w:val="auto"/>
        </w:rPr>
      </w:pPr>
    </w:p>
    <w:p>
      <w:pPr>
        <w:ind w:right="640"/>
        <w:spacing w:after="0" w:line="246" w:lineRule="auto"/>
        <w:rPr>
          <w:sz w:val="20"/>
          <w:szCs w:val="20"/>
          <w:color w:val="auto"/>
        </w:rPr>
      </w:pPr>
      <w:r>
        <w:rPr>
          <w:rFonts w:ascii="Arial" w:cs="Arial" w:eastAsia="Arial" w:hAnsi="Arial"/>
          <w:sz w:val="16"/>
          <w:szCs w:val="16"/>
          <w:color w:val="auto"/>
        </w:rPr>
        <w:t>Our audit procedures related to assessing the realizability of the Company’s deferred tax assets, including the evaluation of both positive and negative evidence and management’s estimate of future taxable income, included the following, among others:</w:t>
      </w:r>
    </w:p>
    <w:p>
      <w:pPr>
        <w:spacing w:after="0" w:line="1" w:lineRule="exact"/>
        <w:rPr>
          <w:sz w:val="20"/>
          <w:szCs w:val="20"/>
          <w:color w:val="auto"/>
        </w:rPr>
      </w:pPr>
    </w:p>
    <w:p>
      <w:pPr>
        <w:ind w:left="340" w:right="560" w:hanging="332"/>
        <w:spacing w:after="0" w:line="262" w:lineRule="auto"/>
        <w:tabs>
          <w:tab w:leader="none" w:pos="329" w:val="left"/>
        </w:tabs>
        <w:numPr>
          <w:ilvl w:val="0"/>
          <w:numId w:val="34"/>
        </w:numPr>
        <w:rPr>
          <w:rFonts w:ascii="Arial" w:cs="Arial" w:eastAsia="Arial" w:hAnsi="Arial"/>
          <w:sz w:val="15"/>
          <w:szCs w:val="15"/>
          <w:color w:val="auto"/>
        </w:rPr>
      </w:pPr>
      <w:r>
        <w:rPr>
          <w:rFonts w:ascii="Arial" w:cs="Arial" w:eastAsia="Arial" w:hAnsi="Arial"/>
          <w:sz w:val="15"/>
          <w:szCs w:val="15"/>
          <w:color w:val="auto"/>
        </w:rPr>
        <w:t>We tested the effectiveness of management’s internal controls over the valuation allowance for income taxes, including management’s internal controls over the estimates of future taxable income and the determination of whether it is more likely than not that the deferred tax assets will be realized.</w:t>
      </w:r>
    </w:p>
    <w:p>
      <w:pPr>
        <w:spacing w:after="0" w:line="1" w:lineRule="exact"/>
        <w:rPr>
          <w:rFonts w:ascii="Arial" w:cs="Arial" w:eastAsia="Arial" w:hAnsi="Arial"/>
          <w:sz w:val="15"/>
          <w:szCs w:val="15"/>
          <w:color w:val="auto"/>
        </w:rPr>
      </w:pPr>
    </w:p>
    <w:p>
      <w:pPr>
        <w:ind w:left="320" w:hanging="312"/>
        <w:spacing w:after="0"/>
        <w:tabs>
          <w:tab w:leader="none" w:pos="3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We evaluated the reasonableness of the methods, assumptions, and judgments used by management to determine whether a valuation allowance was necessary.</w:t>
      </w:r>
    </w:p>
    <w:p>
      <w:pPr>
        <w:spacing w:after="0" w:line="16" w:lineRule="exact"/>
        <w:rPr>
          <w:rFonts w:ascii="Arial" w:cs="Arial" w:eastAsia="Arial" w:hAnsi="Arial"/>
          <w:sz w:val="15"/>
          <w:szCs w:val="15"/>
          <w:color w:val="auto"/>
        </w:rPr>
      </w:pPr>
    </w:p>
    <w:p>
      <w:pPr>
        <w:ind w:left="320" w:hanging="312"/>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With the assistance of our income tax specialists:</w:t>
      </w:r>
    </w:p>
    <w:p>
      <w:pPr>
        <w:spacing w:after="0" w:line="5" w:lineRule="exact"/>
        <w:rPr>
          <w:rFonts w:ascii="Arial" w:cs="Arial" w:eastAsia="Arial" w:hAnsi="Arial"/>
          <w:sz w:val="16"/>
          <w:szCs w:val="16"/>
          <w:color w:val="auto"/>
        </w:rPr>
      </w:pPr>
    </w:p>
    <w:p>
      <w:pPr>
        <w:ind w:left="500" w:right="360" w:hanging="162"/>
        <w:spacing w:after="0" w:line="246" w:lineRule="auto"/>
        <w:rPr>
          <w:rFonts w:ascii="Arial" w:cs="Arial" w:eastAsia="Arial" w:hAnsi="Arial"/>
          <w:sz w:val="16"/>
          <w:szCs w:val="16"/>
          <w:color w:val="auto"/>
        </w:rPr>
      </w:pPr>
      <w:r>
        <w:rPr>
          <w:rFonts w:ascii="Arial" w:cs="Arial" w:eastAsia="Arial" w:hAnsi="Arial"/>
          <w:sz w:val="16"/>
          <w:szCs w:val="16"/>
          <w:color w:val="auto"/>
        </w:rPr>
        <w:t>– We evaluated whether the sources of management’s forecasted taxable income were appropriate and sufficient such that the deferred tax assets could be realized under the relevant tax laws.</w:t>
      </w:r>
    </w:p>
    <w:p>
      <w:pPr>
        <w:ind w:left="500" w:right="320" w:hanging="162"/>
        <w:spacing w:after="0" w:line="246" w:lineRule="auto"/>
        <w:rPr>
          <w:rFonts w:ascii="Arial" w:cs="Arial" w:eastAsia="Arial" w:hAnsi="Arial"/>
          <w:sz w:val="16"/>
          <w:szCs w:val="16"/>
          <w:color w:val="auto"/>
        </w:rPr>
      </w:pPr>
      <w:r>
        <w:rPr>
          <w:rFonts w:ascii="Arial" w:cs="Arial" w:eastAsia="Arial" w:hAnsi="Arial"/>
          <w:sz w:val="16"/>
          <w:szCs w:val="16"/>
          <w:color w:val="auto"/>
        </w:rPr>
        <w:t>– We evaluated the nature of the Company’s deferred tax assets, including any potential limitations to their realization based on the amount and timing of expected future taxable income.</w:t>
      </w:r>
    </w:p>
    <w:p>
      <w:pPr>
        <w:ind w:left="340"/>
        <w:spacing w:after="0"/>
        <w:rPr>
          <w:rFonts w:ascii="Arial" w:cs="Arial" w:eastAsia="Arial" w:hAnsi="Arial"/>
          <w:sz w:val="16"/>
          <w:szCs w:val="16"/>
          <w:color w:val="auto"/>
        </w:rPr>
      </w:pPr>
      <w:r>
        <w:rPr>
          <w:rFonts w:ascii="Arial" w:cs="Arial" w:eastAsia="Arial" w:hAnsi="Arial"/>
          <w:sz w:val="16"/>
          <w:szCs w:val="16"/>
          <w:color w:val="auto"/>
        </w:rPr>
        <w:t>– We evaluated management’s estimates of timing differences between book and taxable income in arriving at projected taxable income.</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tested the reasonableness of management’s estimates of pretax book and future taxable income by comparing the estimates to:</w:t>
      </w:r>
    </w:p>
    <w:p>
      <w:pPr>
        <w:spacing w:after="0" w:line="5"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 Internal communications to management and the board of directors,</w:t>
      </w:r>
    </w:p>
    <w:p>
      <w:pPr>
        <w:spacing w:after="0" w:line="5"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 Forecasted information included in the Company’s press releases as well as in analyst and industry reports for the Company, and</w:t>
      </w:r>
    </w:p>
    <w:p>
      <w:pPr>
        <w:spacing w:after="0" w:line="5"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 Forecasted pretax book income information obtained in other areas of the audit.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 </w:t>
      </w:r>
      <w:r>
        <w:rPr>
          <w:rFonts w:ascii="Arial" w:cs="Arial" w:eastAsia="Arial" w:hAnsi="Arial"/>
          <w:sz w:val="16"/>
          <w:szCs w:val="16"/>
          <w:color w:val="auto"/>
        </w:rPr>
        <w:t>Deloitte &amp; Touche LLP</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2021</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9" w:name="page70"/>
    <w:bookmarkEnd w:id="69"/>
    <w:p>
      <w:pPr>
        <w:jc w:val="center"/>
        <w:ind w:right="20"/>
        <w:spacing w:after="0"/>
        <w:rPr>
          <w:sz w:val="20"/>
          <w:szCs w:val="20"/>
          <w:color w:val="auto"/>
        </w:rPr>
      </w:pPr>
      <w:r>
        <w:rPr>
          <w:rFonts w:ascii="Arial" w:cs="Arial" w:eastAsia="Arial" w:hAnsi="Arial"/>
          <w:sz w:val="15"/>
          <w:szCs w:val="15"/>
          <w:b w:val="1"/>
          <w:bCs w:val="1"/>
          <w:color w:val="auto"/>
        </w:rPr>
        <w:t>KRATOS DEFENSE &amp; SECURITY SOLUTIONS,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BALANCE SHEETS</w:t>
      </w:r>
    </w:p>
    <w:p>
      <w:pPr>
        <w:spacing w:after="0" w:line="3" w:lineRule="exact"/>
        <w:rPr>
          <w:sz w:val="20"/>
          <w:szCs w:val="20"/>
          <w:color w:val="auto"/>
        </w:rPr>
      </w:pPr>
    </w:p>
    <w:p>
      <w:pPr>
        <w:ind w:left="4180"/>
        <w:spacing w:after="0"/>
        <w:rPr>
          <w:sz w:val="20"/>
          <w:szCs w:val="20"/>
          <w:color w:val="auto"/>
        </w:rPr>
      </w:pPr>
      <w:r>
        <w:rPr>
          <w:rFonts w:ascii="Arial" w:cs="Arial" w:eastAsia="Arial" w:hAnsi="Arial"/>
          <w:sz w:val="15"/>
          <w:szCs w:val="15"/>
          <w:b w:val="1"/>
          <w:bCs w:val="1"/>
          <w:color w:val="auto"/>
        </w:rPr>
        <w:t>December 27, 2020 and December 29, 2019</w:t>
      </w:r>
    </w:p>
    <w:p>
      <w:pPr>
        <w:spacing w:after="0" w:line="6"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(in millions, except par value and number of shares)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700" w:type="dxa"/>
            <w:vAlign w:val="bottom"/>
          </w:tcPr>
          <w:p>
            <w:pPr>
              <w:spacing w:after="0"/>
              <w:rPr>
                <w:sz w:val="20"/>
                <w:szCs w:val="20"/>
                <w:color w:val="auto"/>
              </w:rPr>
            </w:pPr>
            <w:r>
              <w:rPr>
                <w:rFonts w:ascii="Arial" w:cs="Arial" w:eastAsia="Arial" w:hAnsi="Arial"/>
                <w:sz w:val="14"/>
                <w:szCs w:val="14"/>
                <w:color w:val="auto"/>
              </w:rPr>
              <w:t>Current assets:</w:t>
            </w:r>
          </w:p>
        </w:tc>
        <w:tc>
          <w:tcPr>
            <w:tcW w:w="1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1460" w:type="dxa"/>
            <w:vAlign w:val="bottom"/>
            <w:shd w:val="clear" w:color="auto" w:fill="CCEEFF"/>
          </w:tcPr>
          <w:p>
            <w:pPr>
              <w:jc w:val="right"/>
              <w:ind w:right="130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380.8</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w:t>
            </w:r>
          </w:p>
        </w:tc>
        <w:tc>
          <w:tcPr>
            <w:tcW w:w="0" w:type="dxa"/>
            <w:vAlign w:val="bottom"/>
          </w:tcPr>
          <w:p>
            <w:pPr>
              <w:spacing w:after="0"/>
              <w:rPr>
                <w:sz w:val="1"/>
                <w:szCs w:val="1"/>
                <w:color w:val="auto"/>
              </w:rPr>
            </w:pPr>
          </w:p>
        </w:tc>
      </w:tr>
      <w:tr>
        <w:trPr>
          <w:trHeight w:val="186"/>
        </w:trPr>
        <w:tc>
          <w:tcPr>
            <w:tcW w:w="6700" w:type="dxa"/>
            <w:vAlign w:val="bottom"/>
          </w:tcPr>
          <w:p>
            <w:pPr>
              <w:ind w:left="120"/>
              <w:spacing w:after="0"/>
              <w:rPr>
                <w:sz w:val="20"/>
                <w:szCs w:val="20"/>
                <w:color w:val="auto"/>
              </w:rPr>
            </w:pPr>
            <w:r>
              <w:rPr>
                <w:rFonts w:ascii="Arial" w:cs="Arial" w:eastAsia="Arial" w:hAnsi="Arial"/>
                <w:sz w:val="14"/>
                <w:szCs w:val="14"/>
                <w:color w:val="auto"/>
              </w:rPr>
              <w:t>Restricted cash</w:t>
            </w:r>
          </w:p>
        </w:tc>
        <w:tc>
          <w:tcPr>
            <w:tcW w:w="14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receivable, net</w:t>
            </w:r>
          </w:p>
        </w:tc>
        <w:tc>
          <w:tcPr>
            <w:tcW w:w="14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95.3</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186"/>
        </w:trPr>
        <w:tc>
          <w:tcPr>
            <w:tcW w:w="6700" w:type="dxa"/>
            <w:vAlign w:val="bottom"/>
          </w:tcPr>
          <w:p>
            <w:pPr>
              <w:ind w:left="120"/>
              <w:spacing w:after="0"/>
              <w:rPr>
                <w:sz w:val="20"/>
                <w:szCs w:val="20"/>
                <w:color w:val="auto"/>
              </w:rPr>
            </w:pPr>
            <w:r>
              <w:rPr>
                <w:rFonts w:ascii="Arial" w:cs="Arial" w:eastAsia="Arial" w:hAnsi="Arial"/>
                <w:sz w:val="14"/>
                <w:szCs w:val="14"/>
                <w:color w:val="auto"/>
              </w:rPr>
              <w:t>Unbilled receivables, net</w:t>
            </w:r>
          </w:p>
        </w:tc>
        <w:tc>
          <w:tcPr>
            <w:tcW w:w="14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177.0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179.4</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Inventoried costs</w:t>
            </w:r>
          </w:p>
        </w:tc>
        <w:tc>
          <w:tcPr>
            <w:tcW w:w="14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81.2</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186"/>
        </w:trPr>
        <w:tc>
          <w:tcPr>
            <w:tcW w:w="6700" w:type="dxa"/>
            <w:vAlign w:val="bottom"/>
          </w:tcPr>
          <w:p>
            <w:pPr>
              <w:ind w:left="120"/>
              <w:spacing w:after="0"/>
              <w:rPr>
                <w:sz w:val="20"/>
                <w:szCs w:val="20"/>
                <w:color w:val="auto"/>
              </w:rPr>
            </w:pPr>
            <w:r>
              <w:rPr>
                <w:rFonts w:ascii="Arial" w:cs="Arial" w:eastAsia="Arial" w:hAnsi="Arial"/>
                <w:sz w:val="14"/>
                <w:szCs w:val="14"/>
                <w:color w:val="auto"/>
              </w:rPr>
              <w:t>Prepaid expenses</w:t>
            </w:r>
          </w:p>
        </w:tc>
        <w:tc>
          <w:tcPr>
            <w:tcW w:w="14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current assets</w:t>
            </w:r>
          </w:p>
        </w:tc>
        <w:tc>
          <w:tcPr>
            <w:tcW w:w="14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86"/>
        </w:trPr>
        <w:tc>
          <w:tcPr>
            <w:tcW w:w="6700" w:type="dxa"/>
            <w:vAlign w:val="bottom"/>
          </w:tcPr>
          <w:p>
            <w:pPr>
              <w:ind w:left="120"/>
              <w:spacing w:after="0"/>
              <w:rPr>
                <w:sz w:val="20"/>
                <w:szCs w:val="20"/>
                <w:color w:val="auto"/>
              </w:rPr>
            </w:pPr>
            <w:r>
              <w:rPr>
                <w:rFonts w:ascii="Arial" w:cs="Arial" w:eastAsia="Arial" w:hAnsi="Arial"/>
                <w:sz w:val="14"/>
                <w:szCs w:val="14"/>
                <w:color w:val="auto"/>
              </w:rPr>
              <w:t>Current assets of discontinued operations</w:t>
            </w:r>
          </w:p>
        </w:tc>
        <w:tc>
          <w:tcPr>
            <w:tcW w:w="14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6"/>
        </w:trPr>
        <w:tc>
          <w:tcPr>
            <w:tcW w:w="67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current assets</w:t>
            </w:r>
          </w:p>
        </w:tc>
        <w:tc>
          <w:tcPr>
            <w:tcW w:w="14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764.8</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522.2</w:t>
            </w:r>
          </w:p>
        </w:tc>
        <w:tc>
          <w:tcPr>
            <w:tcW w:w="0" w:type="dxa"/>
            <w:vAlign w:val="bottom"/>
          </w:tcPr>
          <w:p>
            <w:pPr>
              <w:spacing w:after="0"/>
              <w:rPr>
                <w:sz w:val="1"/>
                <w:szCs w:val="1"/>
                <w:color w:val="auto"/>
              </w:rPr>
            </w:pPr>
          </w:p>
        </w:tc>
      </w:tr>
      <w:tr>
        <w:trPr>
          <w:trHeight w:val="186"/>
        </w:trPr>
        <w:tc>
          <w:tcPr>
            <w:tcW w:w="670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14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143.8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116.9</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right-of-use assets</w:t>
            </w:r>
          </w:p>
        </w:tc>
        <w:tc>
          <w:tcPr>
            <w:tcW w:w="14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42.9</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186"/>
        </w:trPr>
        <w:tc>
          <w:tcPr>
            <w:tcW w:w="6700" w:type="dxa"/>
            <w:vAlign w:val="bottom"/>
          </w:tcPr>
          <w:p>
            <w:pPr>
              <w:spacing w:after="0"/>
              <w:rPr>
                <w:sz w:val="20"/>
                <w:szCs w:val="20"/>
                <w:color w:val="auto"/>
              </w:rPr>
            </w:pPr>
            <w:r>
              <w:rPr>
                <w:rFonts w:ascii="Arial" w:cs="Arial" w:eastAsia="Arial" w:hAnsi="Arial"/>
                <w:sz w:val="14"/>
                <w:szCs w:val="14"/>
                <w:color w:val="auto"/>
              </w:rPr>
              <w:t>Goodwill</w:t>
            </w:r>
          </w:p>
        </w:tc>
        <w:tc>
          <w:tcPr>
            <w:tcW w:w="14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483.9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455.6</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spacing w:after="0"/>
              <w:rPr>
                <w:sz w:val="20"/>
                <w:szCs w:val="20"/>
                <w:color w:val="auto"/>
              </w:rPr>
            </w:pPr>
            <w:r>
              <w:rPr>
                <w:rFonts w:ascii="Arial" w:cs="Arial" w:eastAsia="Arial" w:hAnsi="Arial"/>
                <w:sz w:val="14"/>
                <w:szCs w:val="14"/>
                <w:color w:val="auto"/>
              </w:rPr>
              <w:t>Intangible assets, net</w:t>
            </w:r>
          </w:p>
        </w:tc>
        <w:tc>
          <w:tcPr>
            <w:tcW w:w="14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86"/>
        </w:trPr>
        <w:tc>
          <w:tcPr>
            <w:tcW w:w="67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assets</w:t>
            </w:r>
          </w:p>
        </w:tc>
        <w:tc>
          <w:tcPr>
            <w:tcW w:w="1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84.4</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08"/>
        </w:trPr>
        <w:tc>
          <w:tcPr>
            <w:tcW w:w="6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assets</w:t>
            </w:r>
          </w:p>
        </w:tc>
        <w:tc>
          <w:tcPr>
            <w:tcW w:w="1460" w:type="dxa"/>
            <w:vAlign w:val="bottom"/>
            <w:tcBorders>
              <w:bottom w:val="single" w:sz="8" w:color="auto"/>
            </w:tcBorders>
            <w:shd w:val="clear" w:color="auto" w:fill="CCEEFF"/>
          </w:tcPr>
          <w:p>
            <w:pPr>
              <w:jc w:val="right"/>
              <w:ind w:right="130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1,562.8</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1,186.0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70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70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700" w:type="dxa"/>
            <w:vAlign w:val="bottom"/>
          </w:tcPr>
          <w:p>
            <w:pPr>
              <w:ind w:left="120"/>
              <w:spacing w:after="0"/>
              <w:rPr>
                <w:sz w:val="20"/>
                <w:szCs w:val="20"/>
                <w:color w:val="auto"/>
              </w:rPr>
            </w:pPr>
            <w:r>
              <w:rPr>
                <w:rFonts w:ascii="Arial" w:cs="Arial" w:eastAsia="Arial" w:hAnsi="Arial"/>
                <w:sz w:val="14"/>
                <w:szCs w:val="14"/>
                <w:color w:val="auto"/>
              </w:rPr>
              <w:t>Accounts payable</w:t>
            </w:r>
          </w:p>
        </w:tc>
        <w:tc>
          <w:tcPr>
            <w:tcW w:w="1460" w:type="dxa"/>
            <w:vAlign w:val="bottom"/>
          </w:tcPr>
          <w:p>
            <w:pPr>
              <w:jc w:val="right"/>
              <w:ind w:right="130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55.4</w:t>
            </w:r>
          </w:p>
        </w:tc>
        <w:tc>
          <w:tcPr>
            <w:tcW w:w="100" w:type="dxa"/>
            <w:vAlign w:val="bottom"/>
          </w:tcPr>
          <w:p>
            <w:pPr>
              <w:spacing w:after="0"/>
              <w:rPr>
                <w:sz w:val="16"/>
                <w:szCs w:val="16"/>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Accrued expenses</w:t>
            </w:r>
          </w:p>
        </w:tc>
        <w:tc>
          <w:tcPr>
            <w:tcW w:w="14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86"/>
        </w:trPr>
        <w:tc>
          <w:tcPr>
            <w:tcW w:w="6700" w:type="dxa"/>
            <w:vAlign w:val="bottom"/>
          </w:tcPr>
          <w:p>
            <w:pPr>
              <w:ind w:left="120"/>
              <w:spacing w:after="0"/>
              <w:rPr>
                <w:sz w:val="20"/>
                <w:szCs w:val="20"/>
                <w:color w:val="auto"/>
              </w:rPr>
            </w:pPr>
            <w:r>
              <w:rPr>
                <w:rFonts w:ascii="Arial" w:cs="Arial" w:eastAsia="Arial" w:hAnsi="Arial"/>
                <w:sz w:val="14"/>
                <w:szCs w:val="14"/>
                <w:color w:val="auto"/>
              </w:rPr>
              <w:t>Accrued compensation</w:t>
            </w:r>
          </w:p>
        </w:tc>
        <w:tc>
          <w:tcPr>
            <w:tcW w:w="14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48.1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Accrued interest</w:t>
            </w:r>
          </w:p>
        </w:tc>
        <w:tc>
          <w:tcPr>
            <w:tcW w:w="14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6"/>
        </w:trPr>
        <w:tc>
          <w:tcPr>
            <w:tcW w:w="6700" w:type="dxa"/>
            <w:vAlign w:val="bottom"/>
          </w:tcPr>
          <w:p>
            <w:pPr>
              <w:ind w:left="120"/>
              <w:spacing w:after="0"/>
              <w:rPr>
                <w:sz w:val="20"/>
                <w:szCs w:val="20"/>
                <w:color w:val="auto"/>
              </w:rPr>
            </w:pPr>
            <w:r>
              <w:rPr>
                <w:rFonts w:ascii="Arial" w:cs="Arial" w:eastAsia="Arial" w:hAnsi="Arial"/>
                <w:sz w:val="14"/>
                <w:szCs w:val="14"/>
                <w:color w:val="auto"/>
              </w:rPr>
              <w:t>Billings in excess of costs and earnings on uncompleted contracts</w:t>
            </w:r>
          </w:p>
        </w:tc>
        <w:tc>
          <w:tcPr>
            <w:tcW w:w="14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Current portion of operating lease liabilities</w:t>
            </w:r>
          </w:p>
        </w:tc>
        <w:tc>
          <w:tcPr>
            <w:tcW w:w="14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86"/>
        </w:trPr>
        <w:tc>
          <w:tcPr>
            <w:tcW w:w="6700" w:type="dxa"/>
            <w:vAlign w:val="bottom"/>
          </w:tcPr>
          <w:p>
            <w:pPr>
              <w:ind w:left="120"/>
              <w:spacing w:after="0"/>
              <w:rPr>
                <w:sz w:val="20"/>
                <w:szCs w:val="20"/>
                <w:color w:val="auto"/>
              </w:rPr>
            </w:pPr>
            <w:r>
              <w:rPr>
                <w:rFonts w:ascii="Arial" w:cs="Arial" w:eastAsia="Arial" w:hAnsi="Arial"/>
                <w:sz w:val="14"/>
                <w:szCs w:val="14"/>
                <w:color w:val="auto"/>
              </w:rPr>
              <w:t>Other current liabilities</w:t>
            </w:r>
          </w:p>
        </w:tc>
        <w:tc>
          <w:tcPr>
            <w:tcW w:w="14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Current liabilities of discontinued operations</w:t>
            </w:r>
          </w:p>
        </w:tc>
        <w:tc>
          <w:tcPr>
            <w:tcW w:w="14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9"/>
        </w:trPr>
        <w:tc>
          <w:tcPr>
            <w:tcW w:w="6700" w:type="dxa"/>
            <w:vAlign w:val="bottom"/>
          </w:tcPr>
          <w:p>
            <w:pPr>
              <w:ind w:left="340"/>
              <w:spacing w:after="0"/>
              <w:rPr>
                <w:sz w:val="20"/>
                <w:szCs w:val="20"/>
                <w:color w:val="auto"/>
              </w:rPr>
            </w:pPr>
            <w:r>
              <w:rPr>
                <w:rFonts w:ascii="Arial" w:cs="Arial" w:eastAsia="Arial" w:hAnsi="Arial"/>
                <w:sz w:val="14"/>
                <w:szCs w:val="14"/>
                <w:color w:val="auto"/>
              </w:rPr>
              <w:t>Total current liabilities</w:t>
            </w:r>
          </w:p>
        </w:tc>
        <w:tc>
          <w:tcPr>
            <w:tcW w:w="146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197.6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182.7</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spacing w:after="0"/>
              <w:rPr>
                <w:sz w:val="20"/>
                <w:szCs w:val="20"/>
                <w:color w:val="auto"/>
              </w:rPr>
            </w:pPr>
            <w:r>
              <w:rPr>
                <w:rFonts w:ascii="Arial" w:cs="Arial" w:eastAsia="Arial" w:hAnsi="Arial"/>
                <w:sz w:val="14"/>
                <w:szCs w:val="14"/>
                <w:color w:val="auto"/>
              </w:rPr>
              <w:t>Long-term debt</w:t>
            </w:r>
          </w:p>
        </w:tc>
        <w:tc>
          <w:tcPr>
            <w:tcW w:w="14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301.0</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295.1</w:t>
            </w:r>
          </w:p>
        </w:tc>
        <w:tc>
          <w:tcPr>
            <w:tcW w:w="0" w:type="dxa"/>
            <w:vAlign w:val="bottom"/>
          </w:tcPr>
          <w:p>
            <w:pPr>
              <w:spacing w:after="0"/>
              <w:rPr>
                <w:sz w:val="1"/>
                <w:szCs w:val="1"/>
                <w:color w:val="auto"/>
              </w:rPr>
            </w:pPr>
          </w:p>
        </w:tc>
      </w:tr>
      <w:tr>
        <w:trPr>
          <w:trHeight w:val="186"/>
        </w:trPr>
        <w:tc>
          <w:tcPr>
            <w:tcW w:w="6700" w:type="dxa"/>
            <w:vAlign w:val="bottom"/>
          </w:tcPr>
          <w:p>
            <w:pPr>
              <w:spacing w:after="0"/>
              <w:rPr>
                <w:sz w:val="20"/>
                <w:szCs w:val="20"/>
                <w:color w:val="auto"/>
              </w:rPr>
            </w:pPr>
            <w:r>
              <w:rPr>
                <w:rFonts w:ascii="Arial" w:cs="Arial" w:eastAsia="Arial" w:hAnsi="Arial"/>
                <w:sz w:val="14"/>
                <w:szCs w:val="14"/>
                <w:color w:val="auto"/>
              </w:rPr>
              <w:t>Operating lease liabilities, net of current portion</w:t>
            </w:r>
          </w:p>
        </w:tc>
        <w:tc>
          <w:tcPr>
            <w:tcW w:w="14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14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83.0</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w:t>
            </w:r>
          </w:p>
        </w:tc>
        <w:tc>
          <w:tcPr>
            <w:tcW w:w="0" w:type="dxa"/>
            <w:vAlign w:val="bottom"/>
          </w:tcPr>
          <w:p>
            <w:pPr>
              <w:spacing w:after="0"/>
              <w:rPr>
                <w:sz w:val="1"/>
                <w:szCs w:val="1"/>
                <w:color w:val="auto"/>
              </w:rPr>
            </w:pPr>
          </w:p>
        </w:tc>
      </w:tr>
      <w:tr>
        <w:trPr>
          <w:trHeight w:val="186"/>
        </w:trPr>
        <w:tc>
          <w:tcPr>
            <w:tcW w:w="67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Long-term liabilities of discontinued operations</w:t>
            </w:r>
          </w:p>
        </w:tc>
        <w:tc>
          <w:tcPr>
            <w:tcW w:w="1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6"/>
        </w:trPr>
        <w:tc>
          <w:tcPr>
            <w:tcW w:w="6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liabilities</w:t>
            </w:r>
          </w:p>
        </w:tc>
        <w:tc>
          <w:tcPr>
            <w:tcW w:w="14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622.7</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596.9</w:t>
            </w:r>
          </w:p>
        </w:tc>
        <w:tc>
          <w:tcPr>
            <w:tcW w:w="0" w:type="dxa"/>
            <w:vAlign w:val="bottom"/>
          </w:tcPr>
          <w:p>
            <w:pPr>
              <w:spacing w:after="0"/>
              <w:rPr>
                <w:sz w:val="1"/>
                <w:szCs w:val="1"/>
                <w:color w:val="auto"/>
              </w:rPr>
            </w:pPr>
          </w:p>
        </w:tc>
      </w:tr>
      <w:tr>
        <w:trPr>
          <w:trHeight w:val="166"/>
        </w:trPr>
        <w:tc>
          <w:tcPr>
            <w:tcW w:w="6700" w:type="dxa"/>
            <w:vAlign w:val="bottom"/>
          </w:tcPr>
          <w:p>
            <w:pPr>
              <w:spacing w:after="0"/>
              <w:rPr>
                <w:sz w:val="20"/>
                <w:szCs w:val="20"/>
                <w:color w:val="auto"/>
              </w:rPr>
            </w:pPr>
            <w:r>
              <w:rPr>
                <w:rFonts w:ascii="Arial" w:cs="Arial" w:eastAsia="Arial" w:hAnsi="Arial"/>
                <w:sz w:val="14"/>
                <w:szCs w:val="14"/>
                <w:color w:val="auto"/>
              </w:rPr>
              <w:t>Commitments and contingencies (Note 15)</w:t>
            </w: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spacing w:after="0"/>
              <w:rPr>
                <w:sz w:val="20"/>
                <w:szCs w:val="20"/>
                <w:color w:val="auto"/>
              </w:rPr>
            </w:pPr>
            <w:r>
              <w:rPr>
                <w:rFonts w:ascii="Arial" w:cs="Arial" w:eastAsia="Arial" w:hAnsi="Arial"/>
                <w:sz w:val="14"/>
                <w:szCs w:val="14"/>
                <w:color w:val="auto"/>
              </w:rPr>
              <w:t>Redeemable noncontrolling interest</w:t>
            </w:r>
          </w:p>
        </w:tc>
        <w:tc>
          <w:tcPr>
            <w:tcW w:w="14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86"/>
        </w:trPr>
        <w:tc>
          <w:tcPr>
            <w:tcW w:w="6700" w:type="dxa"/>
            <w:vAlign w:val="bottom"/>
          </w:tcPr>
          <w:p>
            <w:pPr>
              <w:spacing w:after="0"/>
              <w:rPr>
                <w:sz w:val="20"/>
                <w:szCs w:val="20"/>
                <w:color w:val="auto"/>
              </w:rPr>
            </w:pPr>
            <w:r>
              <w:rPr>
                <w:rFonts w:ascii="Arial" w:cs="Arial" w:eastAsia="Arial" w:hAnsi="Arial"/>
                <w:sz w:val="14"/>
                <w:szCs w:val="14"/>
                <w:color w:val="auto"/>
              </w:rPr>
              <w:t>Stockholders’ equity:</w:t>
            </w:r>
          </w:p>
        </w:tc>
        <w:tc>
          <w:tcPr>
            <w:tcW w:w="1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670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rPr>
              <w:t>Preferred stock, $0.001 par value, 5,000,000 authorized, 0 shares outstanding at December 27, 2020 and</w:t>
            </w:r>
          </w:p>
        </w:tc>
        <w:tc>
          <w:tcPr>
            <w:tcW w:w="14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December 29, 2019</w:t>
            </w:r>
          </w:p>
        </w:tc>
        <w:tc>
          <w:tcPr>
            <w:tcW w:w="14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700" w:type="dxa"/>
            <w:vAlign w:val="bottom"/>
          </w:tcPr>
          <w:p>
            <w:pPr>
              <w:ind w:left="120"/>
              <w:spacing w:after="0" w:line="135" w:lineRule="exact"/>
              <w:rPr>
                <w:sz w:val="20"/>
                <w:szCs w:val="20"/>
                <w:color w:val="auto"/>
              </w:rPr>
            </w:pPr>
            <w:r>
              <w:rPr>
                <w:rFonts w:ascii="Arial" w:cs="Arial" w:eastAsia="Arial" w:hAnsi="Arial"/>
                <w:sz w:val="14"/>
                <w:szCs w:val="14"/>
                <w:color w:val="auto"/>
                <w:w w:val="94"/>
              </w:rPr>
              <w:t>Common stock, $0.001 par value, 195,000,000 shares authorized; 123,047,147 and 106,635,508 shares issued</w:t>
            </w:r>
          </w:p>
        </w:tc>
        <w:tc>
          <w:tcPr>
            <w:tcW w:w="146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1"/>
                <w:szCs w:val="11"/>
                <w:color w:val="auto"/>
              </w:rPr>
            </w:pPr>
          </w:p>
        </w:tc>
        <w:tc>
          <w:tcPr>
            <w:tcW w:w="1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700" w:type="dxa"/>
            <w:vAlign w:val="bottom"/>
          </w:tcPr>
          <w:p>
            <w:pPr>
              <w:ind w:left="120"/>
              <w:spacing w:after="0"/>
              <w:rPr>
                <w:sz w:val="20"/>
                <w:szCs w:val="20"/>
                <w:color w:val="auto"/>
              </w:rPr>
            </w:pPr>
            <w:r>
              <w:rPr>
                <w:rFonts w:ascii="Arial" w:cs="Arial" w:eastAsia="Arial" w:hAnsi="Arial"/>
                <w:sz w:val="14"/>
                <w:szCs w:val="14"/>
                <w:color w:val="auto"/>
              </w:rPr>
              <w:t>and outstanding at December 27, 2020 and December 29, 2019, respectively</w:t>
            </w:r>
          </w:p>
        </w:tc>
        <w:tc>
          <w:tcPr>
            <w:tcW w:w="14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Additional paid-in capital</w:t>
            </w:r>
          </w:p>
        </w:tc>
        <w:tc>
          <w:tcPr>
            <w:tcW w:w="14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1,556.3</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1,286.5</w:t>
            </w:r>
          </w:p>
        </w:tc>
        <w:tc>
          <w:tcPr>
            <w:tcW w:w="0" w:type="dxa"/>
            <w:vAlign w:val="bottom"/>
          </w:tcPr>
          <w:p>
            <w:pPr>
              <w:spacing w:after="0"/>
              <w:rPr>
                <w:sz w:val="1"/>
                <w:szCs w:val="1"/>
                <w:color w:val="auto"/>
              </w:rPr>
            </w:pPr>
          </w:p>
        </w:tc>
      </w:tr>
      <w:tr>
        <w:trPr>
          <w:trHeight w:val="186"/>
        </w:trPr>
        <w:tc>
          <w:tcPr>
            <w:tcW w:w="6700" w:type="dxa"/>
            <w:vAlign w:val="bottom"/>
          </w:tcPr>
          <w:p>
            <w:pPr>
              <w:ind w:left="120"/>
              <w:spacing w:after="0"/>
              <w:rPr>
                <w:sz w:val="20"/>
                <w:szCs w:val="20"/>
                <w:color w:val="auto"/>
              </w:rPr>
            </w:pPr>
            <w:r>
              <w:rPr>
                <w:rFonts w:ascii="Arial" w:cs="Arial" w:eastAsia="Arial" w:hAnsi="Arial"/>
                <w:sz w:val="14"/>
                <w:szCs w:val="14"/>
                <w:color w:val="auto"/>
              </w:rPr>
              <w:t>Accumulated other comprehensive loss</w:t>
            </w:r>
          </w:p>
        </w:tc>
        <w:tc>
          <w:tcPr>
            <w:tcW w:w="14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Accumulated deficit</w:t>
            </w:r>
          </w:p>
        </w:tc>
        <w:tc>
          <w:tcPr>
            <w:tcW w:w="14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(632.4)</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(712.0)</w:t>
            </w:r>
          </w:p>
        </w:tc>
        <w:tc>
          <w:tcPr>
            <w:tcW w:w="0" w:type="dxa"/>
            <w:vAlign w:val="bottom"/>
          </w:tcPr>
          <w:p>
            <w:pPr>
              <w:spacing w:after="0"/>
              <w:rPr>
                <w:sz w:val="1"/>
                <w:szCs w:val="1"/>
                <w:color w:val="auto"/>
              </w:rPr>
            </w:pPr>
          </w:p>
        </w:tc>
      </w:tr>
      <w:tr>
        <w:trPr>
          <w:trHeight w:val="179"/>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stockholders’ equity</w:t>
            </w:r>
          </w:p>
        </w:tc>
        <w:tc>
          <w:tcPr>
            <w:tcW w:w="14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925.3</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574.1</w:t>
            </w:r>
          </w:p>
        </w:tc>
        <w:tc>
          <w:tcPr>
            <w:tcW w:w="0" w:type="dxa"/>
            <w:vAlign w:val="bottom"/>
          </w:tcPr>
          <w:p>
            <w:pPr>
              <w:spacing w:after="0"/>
              <w:rPr>
                <w:sz w:val="1"/>
                <w:szCs w:val="1"/>
                <w:color w:val="auto"/>
              </w:rPr>
            </w:pPr>
          </w:p>
        </w:tc>
      </w:tr>
      <w:tr>
        <w:trPr>
          <w:trHeight w:val="208"/>
        </w:trPr>
        <w:tc>
          <w:tcPr>
            <w:tcW w:w="6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liabilities and stockholders’ equity</w:t>
            </w:r>
          </w:p>
        </w:tc>
        <w:tc>
          <w:tcPr>
            <w:tcW w:w="1460" w:type="dxa"/>
            <w:vAlign w:val="bottom"/>
            <w:tcBorders>
              <w:bottom w:val="single" w:sz="8" w:color="auto"/>
            </w:tcBorders>
            <w:shd w:val="clear" w:color="auto" w:fill="CCEEFF"/>
          </w:tcPr>
          <w:p>
            <w:pPr>
              <w:jc w:val="right"/>
              <w:ind w:right="130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1,562.8</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1,186.0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013" w:right="35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STATEMENTS OF OPERATIONS</w:t>
      </w:r>
    </w:p>
    <w:p>
      <w:pPr>
        <w:jc w:val="center"/>
        <w:ind w:right="-39"/>
        <w:spacing w:after="0"/>
        <w:rPr>
          <w:sz w:val="20"/>
          <w:szCs w:val="20"/>
          <w:color w:val="auto"/>
        </w:rPr>
      </w:pPr>
      <w:r>
        <w:rPr>
          <w:rFonts w:ascii="Arial" w:cs="Arial" w:eastAsia="Arial" w:hAnsi="Arial"/>
          <w:sz w:val="14"/>
          <w:szCs w:val="14"/>
          <w:b w:val="1"/>
          <w:bCs w:val="1"/>
          <w:color w:val="auto"/>
        </w:rPr>
        <w:t>Years ended December 27, 2020, December 29, 2019, and December 30, 2018</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millions, except per share amounts)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Borders>
              <w:bottom w:val="single" w:sz="8" w:color="CCEEFF"/>
            </w:tcBorders>
          </w:tcPr>
          <w:p>
            <w:pPr>
              <w:spacing w:after="0"/>
              <w:rPr>
                <w:sz w:val="16"/>
                <w:szCs w:val="16"/>
                <w:color w:val="auto"/>
              </w:rPr>
            </w:pPr>
          </w:p>
        </w:tc>
        <w:tc>
          <w:tcPr>
            <w:tcW w:w="25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2018</w:t>
            </w:r>
          </w:p>
        </w:tc>
      </w:tr>
      <w:tr>
        <w:trPr>
          <w:trHeight w:val="189"/>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Service revenues</w:t>
            </w:r>
          </w:p>
        </w:tc>
        <w:tc>
          <w:tcPr>
            <w:tcW w:w="1340" w:type="dxa"/>
            <w:vAlign w:val="bottom"/>
            <w:shd w:val="clear" w:color="auto" w:fill="CCEEFF"/>
          </w:tcPr>
          <w:p>
            <w:pPr>
              <w:jc w:val="right"/>
              <w:ind w:right="118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272.6</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w:t>
            </w:r>
          </w:p>
        </w:tc>
      </w:tr>
      <w:tr>
        <w:trPr>
          <w:trHeight w:val="186"/>
        </w:trPr>
        <w:tc>
          <w:tcPr>
            <w:tcW w:w="51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Product sales</w:t>
            </w:r>
          </w:p>
        </w:tc>
        <w:tc>
          <w:tcPr>
            <w:tcW w:w="1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444.9</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417.3</w:t>
            </w:r>
          </w:p>
        </w:tc>
      </w:tr>
      <w:tr>
        <w:trPr>
          <w:trHeight w:val="186"/>
        </w:trPr>
        <w:tc>
          <w:tcPr>
            <w:tcW w:w="51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Total revenues</w:t>
            </w:r>
          </w:p>
        </w:tc>
        <w:tc>
          <w:tcPr>
            <w:tcW w:w="13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747.7</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717.5</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618.0</w:t>
            </w:r>
          </w:p>
        </w:tc>
      </w:tr>
      <w:tr>
        <w:trPr>
          <w:trHeight w:val="179"/>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Cost of service revenues</w:t>
            </w:r>
          </w:p>
        </w:tc>
        <w:tc>
          <w:tcPr>
            <w:tcW w:w="1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182.5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192.0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137.8</w:t>
            </w:r>
          </w:p>
        </w:tc>
      </w:tr>
      <w:tr>
        <w:trPr>
          <w:trHeight w:val="192"/>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Cost of product sales</w:t>
            </w:r>
          </w:p>
        </w:tc>
        <w:tc>
          <w:tcPr>
            <w:tcW w:w="13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362.0</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335.5</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310.5</w:t>
            </w:r>
          </w:p>
        </w:tc>
      </w:tr>
      <w:tr>
        <w:trPr>
          <w:trHeight w:val="179"/>
        </w:trPr>
        <w:tc>
          <w:tcPr>
            <w:tcW w:w="5100" w:type="dxa"/>
            <w:vAlign w:val="bottom"/>
            <w:tcBorders>
              <w:bottom w:val="single" w:sz="8" w:color="CCEEFF"/>
            </w:tcBorders>
            <w:gridSpan w:val="2"/>
          </w:tcPr>
          <w:p>
            <w:pPr>
              <w:ind w:left="360"/>
              <w:spacing w:after="0"/>
              <w:rPr>
                <w:sz w:val="20"/>
                <w:szCs w:val="20"/>
                <w:color w:val="auto"/>
              </w:rPr>
            </w:pPr>
            <w:r>
              <w:rPr>
                <w:rFonts w:ascii="Arial" w:cs="Arial" w:eastAsia="Arial" w:hAnsi="Arial"/>
                <w:sz w:val="14"/>
                <w:szCs w:val="14"/>
                <w:color w:val="auto"/>
              </w:rPr>
              <w:t>Total costs</w:t>
            </w:r>
          </w:p>
        </w:tc>
        <w:tc>
          <w:tcPr>
            <w:tcW w:w="1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544.5</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527.5</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448.3</w:t>
            </w:r>
          </w:p>
        </w:tc>
      </w:tr>
      <w:tr>
        <w:trPr>
          <w:trHeight w:val="186"/>
        </w:trPr>
        <w:tc>
          <w:tcPr>
            <w:tcW w:w="51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Gross profit</w:t>
            </w:r>
          </w:p>
        </w:tc>
        <w:tc>
          <w:tcPr>
            <w:tcW w:w="13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w:t>
            </w:r>
          </w:p>
        </w:tc>
      </w:tr>
      <w:tr>
        <w:trPr>
          <w:trHeight w:val="186"/>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1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144.5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130.8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119.8</w:t>
            </w:r>
          </w:p>
        </w:tc>
      </w:tr>
      <w:tr>
        <w:trPr>
          <w:trHeight w:val="192"/>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Merger and acquisition related items</w:t>
            </w:r>
          </w:p>
        </w:tc>
        <w:tc>
          <w:tcPr>
            <w:tcW w:w="13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 expenses</w:t>
            </w:r>
          </w:p>
        </w:tc>
        <w:tc>
          <w:tcPr>
            <w:tcW w:w="1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15.6</w:t>
            </w:r>
          </w:p>
        </w:tc>
      </w:tr>
      <w:tr>
        <w:trPr>
          <w:trHeight w:val="192"/>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Restructuring expenses and other</w:t>
            </w:r>
          </w:p>
        </w:tc>
        <w:tc>
          <w:tcPr>
            <w:tcW w:w="13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79"/>
        </w:trPr>
        <w:tc>
          <w:tcPr>
            <w:tcW w:w="5100" w:type="dxa"/>
            <w:vAlign w:val="bottom"/>
            <w:tcBorders>
              <w:bottom w:val="single" w:sz="8" w:color="CCEEFF"/>
            </w:tcBorders>
            <w:gridSpan w:val="2"/>
          </w:tcPr>
          <w:p>
            <w:pPr>
              <w:ind w:left="360"/>
              <w:spacing w:after="0"/>
              <w:rPr>
                <w:sz w:val="20"/>
                <w:szCs w:val="20"/>
                <w:color w:val="auto"/>
              </w:rPr>
            </w:pPr>
            <w:r>
              <w:rPr>
                <w:rFonts w:ascii="Arial" w:cs="Arial" w:eastAsia="Arial" w:hAnsi="Arial"/>
                <w:sz w:val="14"/>
                <w:szCs w:val="14"/>
                <w:color w:val="auto"/>
              </w:rPr>
              <w:t>Operating income</w:t>
            </w:r>
          </w:p>
        </w:tc>
        <w:tc>
          <w:tcPr>
            <w:tcW w:w="1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w:t>
            </w:r>
          </w:p>
        </w:tc>
      </w:tr>
      <w:tr>
        <w:trPr>
          <w:trHeight w:val="172"/>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13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86"/>
        </w:trPr>
        <w:tc>
          <w:tcPr>
            <w:tcW w:w="5100" w:type="dxa"/>
            <w:vAlign w:val="bottom"/>
            <w:gridSpan w:val="2"/>
          </w:tcPr>
          <w:p>
            <w:pPr>
              <w:ind w:left="140"/>
              <w:spacing w:after="0"/>
              <w:rPr>
                <w:sz w:val="20"/>
                <w:szCs w:val="20"/>
                <w:color w:val="auto"/>
              </w:rPr>
            </w:pPr>
            <w:r>
              <w:rPr>
                <w:rFonts w:ascii="Arial" w:cs="Arial" w:eastAsia="Arial" w:hAnsi="Arial"/>
                <w:sz w:val="14"/>
                <w:szCs w:val="14"/>
                <w:color w:val="auto"/>
              </w:rPr>
              <w:t>Interest expense, net</w:t>
            </w:r>
          </w:p>
        </w:tc>
        <w:tc>
          <w:tcPr>
            <w:tcW w:w="1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(20.8)</w:t>
            </w:r>
          </w:p>
        </w:tc>
      </w:tr>
      <w:tr>
        <w:trPr>
          <w:trHeight w:val="192"/>
        </w:trPr>
        <w:tc>
          <w:tcPr>
            <w:tcW w:w="51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income (expense), net</w:t>
            </w:r>
          </w:p>
        </w:tc>
        <w:tc>
          <w:tcPr>
            <w:tcW w:w="13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79"/>
        </w:trPr>
        <w:tc>
          <w:tcPr>
            <w:tcW w:w="5100" w:type="dxa"/>
            <w:vAlign w:val="bottom"/>
            <w:tcBorders>
              <w:bottom w:val="single" w:sz="8" w:color="CCEEFF"/>
            </w:tcBorders>
            <w:gridSpan w:val="2"/>
          </w:tcPr>
          <w:p>
            <w:pPr>
              <w:ind w:left="360"/>
              <w:spacing w:after="0"/>
              <w:rPr>
                <w:sz w:val="20"/>
                <w:szCs w:val="20"/>
                <w:color w:val="auto"/>
              </w:rPr>
            </w:pPr>
            <w:r>
              <w:rPr>
                <w:rFonts w:ascii="Arial" w:cs="Arial" w:eastAsia="Arial" w:hAnsi="Arial"/>
                <w:sz w:val="14"/>
                <w:szCs w:val="14"/>
                <w:color w:val="auto"/>
              </w:rPr>
              <w:t>Total other expense, net</w:t>
            </w:r>
          </w:p>
        </w:tc>
        <w:tc>
          <w:tcPr>
            <w:tcW w:w="1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r>
      <w:tr>
        <w:trPr>
          <w:trHeight w:val="186"/>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from continuing operations before income taxes</w:t>
            </w:r>
          </w:p>
        </w:tc>
        <w:tc>
          <w:tcPr>
            <w:tcW w:w="13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r>
      <w:tr>
        <w:trPr>
          <w:trHeight w:val="186"/>
        </w:trPr>
        <w:tc>
          <w:tcPr>
            <w:tcW w:w="51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Provision (benefit) for income taxes from continuing operations</w:t>
            </w:r>
          </w:p>
        </w:tc>
        <w:tc>
          <w:tcPr>
            <w:tcW w:w="1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r>
      <w:tr>
        <w:trPr>
          <w:trHeight w:val="186"/>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from continuing operations</w:t>
            </w:r>
          </w:p>
        </w:tc>
        <w:tc>
          <w:tcPr>
            <w:tcW w:w="13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166"/>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Discontinued operations</w:t>
            </w: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38"/>
        </w:trPr>
        <w:tc>
          <w:tcPr>
            <w:tcW w:w="5100" w:type="dxa"/>
            <w:vAlign w:val="bottom"/>
            <w:gridSpan w:val="2"/>
            <w:shd w:val="clear" w:color="auto" w:fill="CCEEFF"/>
          </w:tcPr>
          <w:p>
            <w:pPr>
              <w:ind w:left="140"/>
              <w:spacing w:after="0" w:line="139" w:lineRule="exact"/>
              <w:rPr>
                <w:sz w:val="20"/>
                <w:szCs w:val="20"/>
                <w:color w:val="auto"/>
              </w:rPr>
            </w:pPr>
            <w:r>
              <w:rPr>
                <w:rFonts w:ascii="Arial" w:cs="Arial" w:eastAsia="Arial" w:hAnsi="Arial"/>
                <w:sz w:val="14"/>
                <w:szCs w:val="14"/>
                <w:color w:val="auto"/>
              </w:rPr>
              <w:t>Income (loss) from operations of discontinued component (including gain on</w:t>
            </w:r>
          </w:p>
        </w:tc>
        <w:tc>
          <w:tcPr>
            <w:tcW w:w="1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169"/>
        </w:trPr>
        <w:tc>
          <w:tcPr>
            <w:tcW w:w="2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w w:val="93"/>
              </w:rPr>
              <w:t>disposal of $0.0 million for the year ended</w:t>
            </w:r>
          </w:p>
        </w:tc>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December 30, 2018)</w:t>
            </w:r>
          </w:p>
        </w:tc>
        <w:tc>
          <w:tcPr>
            <w:tcW w:w="13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w:t>
            </w:r>
          </w:p>
        </w:tc>
      </w:tr>
      <w:tr>
        <w:trPr>
          <w:trHeight w:val="186"/>
        </w:trPr>
        <w:tc>
          <w:tcPr>
            <w:tcW w:w="510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Income tax expense (benefit)</w:t>
            </w:r>
          </w:p>
        </w:tc>
        <w:tc>
          <w:tcPr>
            <w:tcW w:w="1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186"/>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(loss) from discontinued operations</w:t>
            </w:r>
          </w:p>
        </w:tc>
        <w:tc>
          <w:tcPr>
            <w:tcW w:w="13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179"/>
        </w:trPr>
        <w:tc>
          <w:tcPr>
            <w:tcW w:w="5100" w:type="dxa"/>
            <w:vAlign w:val="bottom"/>
            <w:gridSpan w:val="2"/>
          </w:tcPr>
          <w:p>
            <w:pPr>
              <w:ind w:left="360"/>
              <w:spacing w:after="0"/>
              <w:rPr>
                <w:sz w:val="20"/>
                <w:szCs w:val="20"/>
                <w:color w:val="auto"/>
              </w:rPr>
            </w:pPr>
            <w:r>
              <w:rPr>
                <w:rFonts w:ascii="Arial" w:cs="Arial" w:eastAsia="Arial" w:hAnsi="Arial"/>
                <w:sz w:val="14"/>
                <w:szCs w:val="14"/>
                <w:color w:val="auto"/>
              </w:rPr>
              <w:t>Net income (loss)</w:t>
            </w:r>
          </w:p>
        </w:tc>
        <w:tc>
          <w:tcPr>
            <w:tcW w:w="1340" w:type="dxa"/>
            <w:vAlign w:val="bottom"/>
          </w:tcPr>
          <w:p>
            <w:pPr>
              <w:jc w:val="right"/>
              <w:ind w:right="118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79.4</w:t>
            </w:r>
          </w:p>
        </w:tc>
        <w:tc>
          <w:tcPr>
            <w:tcW w:w="10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92"/>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Less: Net income (loss) attributable to noncontrolling interest</w:t>
            </w:r>
          </w:p>
        </w:tc>
        <w:tc>
          <w:tcPr>
            <w:tcW w:w="13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5100" w:type="dxa"/>
            <w:vAlign w:val="bottom"/>
            <w:gridSpan w:val="2"/>
          </w:tcPr>
          <w:p>
            <w:pPr>
              <w:ind w:left="360"/>
              <w:spacing w:after="0"/>
              <w:rPr>
                <w:sz w:val="20"/>
                <w:szCs w:val="20"/>
                <w:color w:val="auto"/>
              </w:rPr>
            </w:pPr>
            <w:r>
              <w:rPr>
                <w:rFonts w:ascii="Arial" w:cs="Arial" w:eastAsia="Arial" w:hAnsi="Arial"/>
                <w:sz w:val="14"/>
                <w:szCs w:val="14"/>
                <w:color w:val="auto"/>
              </w:rPr>
              <w:t>Net income (loss) attributable to Kratos</w:t>
            </w:r>
          </w:p>
        </w:tc>
        <w:tc>
          <w:tcPr>
            <w:tcW w:w="1340" w:type="dxa"/>
            <w:vAlign w:val="bottom"/>
            <w:tcBorders>
              <w:bottom w:val="single" w:sz="8" w:color="auto"/>
            </w:tcBorders>
          </w:tcPr>
          <w:p>
            <w:pPr>
              <w:jc w:val="right"/>
              <w:ind w:right="11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59"/>
        </w:trPr>
        <w:tc>
          <w:tcPr>
            <w:tcW w:w="510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Basic income and (loss) per common share attributable to Kratos:</w:t>
            </w:r>
          </w:p>
        </w:tc>
        <w:tc>
          <w:tcPr>
            <w:tcW w:w="13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86"/>
        </w:trPr>
        <w:tc>
          <w:tcPr>
            <w:tcW w:w="5100" w:type="dxa"/>
            <w:vAlign w:val="bottom"/>
            <w:gridSpan w:val="2"/>
          </w:tcPr>
          <w:p>
            <w:pPr>
              <w:ind w:left="140"/>
              <w:spacing w:after="0"/>
              <w:rPr>
                <w:sz w:val="20"/>
                <w:szCs w:val="20"/>
                <w:color w:val="auto"/>
              </w:rPr>
            </w:pPr>
            <w:r>
              <w:rPr>
                <w:rFonts w:ascii="Arial" w:cs="Arial" w:eastAsia="Arial" w:hAnsi="Arial"/>
                <w:sz w:val="14"/>
                <w:szCs w:val="14"/>
                <w:color w:val="auto"/>
              </w:rPr>
              <w:t>Income from continuing operations</w:t>
            </w:r>
          </w:p>
        </w:tc>
        <w:tc>
          <w:tcPr>
            <w:tcW w:w="1340" w:type="dxa"/>
            <w:vAlign w:val="bottom"/>
          </w:tcPr>
          <w:p>
            <w:pPr>
              <w:jc w:val="right"/>
              <w:ind w:right="118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0.70</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0.04</w:t>
            </w:r>
          </w:p>
        </w:tc>
      </w:tr>
      <w:tr>
        <w:trPr>
          <w:trHeight w:val="192"/>
        </w:trPr>
        <w:tc>
          <w:tcPr>
            <w:tcW w:w="51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Income (loss) from discontinued operations</w:t>
            </w:r>
          </w:p>
        </w:tc>
        <w:tc>
          <w:tcPr>
            <w:tcW w:w="13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(0.07)</w:t>
            </w:r>
          </w:p>
        </w:tc>
      </w:tr>
      <w:tr>
        <w:trPr>
          <w:trHeight w:val="179"/>
        </w:trPr>
        <w:tc>
          <w:tcPr>
            <w:tcW w:w="5100" w:type="dxa"/>
            <w:vAlign w:val="bottom"/>
            <w:gridSpan w:val="2"/>
          </w:tcPr>
          <w:p>
            <w:pPr>
              <w:ind w:left="360"/>
              <w:spacing w:after="0"/>
              <w:rPr>
                <w:sz w:val="20"/>
                <w:szCs w:val="20"/>
                <w:color w:val="auto"/>
              </w:rPr>
            </w:pPr>
            <w:r>
              <w:rPr>
                <w:rFonts w:ascii="Arial" w:cs="Arial" w:eastAsia="Arial" w:hAnsi="Arial"/>
                <w:sz w:val="14"/>
                <w:szCs w:val="14"/>
                <w:color w:val="auto"/>
              </w:rPr>
              <w:t>Net income (loss) per common share</w:t>
            </w:r>
          </w:p>
        </w:tc>
        <w:tc>
          <w:tcPr>
            <w:tcW w:w="1340" w:type="dxa"/>
            <w:vAlign w:val="bottom"/>
            <w:tcBorders>
              <w:bottom w:val="single" w:sz="8" w:color="auto"/>
            </w:tcBorders>
          </w:tcPr>
          <w:p>
            <w:pPr>
              <w:jc w:val="right"/>
              <w:ind w:right="11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0.69</w:t>
            </w:r>
          </w:p>
        </w:tc>
        <w:tc>
          <w:tcPr>
            <w:tcW w:w="100" w:type="dxa"/>
            <w:vAlign w:val="bottom"/>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0.12</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59"/>
        </w:trPr>
        <w:tc>
          <w:tcPr>
            <w:tcW w:w="510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Diluted income (loss) per common share attributable to Kratos:</w:t>
            </w:r>
          </w:p>
        </w:tc>
        <w:tc>
          <w:tcPr>
            <w:tcW w:w="13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86"/>
        </w:trPr>
        <w:tc>
          <w:tcPr>
            <w:tcW w:w="5100" w:type="dxa"/>
            <w:vAlign w:val="bottom"/>
            <w:gridSpan w:val="2"/>
          </w:tcPr>
          <w:p>
            <w:pPr>
              <w:ind w:left="140"/>
              <w:spacing w:after="0"/>
              <w:rPr>
                <w:sz w:val="20"/>
                <w:szCs w:val="20"/>
                <w:color w:val="auto"/>
              </w:rPr>
            </w:pPr>
            <w:r>
              <w:rPr>
                <w:rFonts w:ascii="Arial" w:cs="Arial" w:eastAsia="Arial" w:hAnsi="Arial"/>
                <w:sz w:val="14"/>
                <w:szCs w:val="14"/>
                <w:color w:val="auto"/>
              </w:rPr>
              <w:t>Income from continuing operations</w:t>
            </w:r>
          </w:p>
        </w:tc>
        <w:tc>
          <w:tcPr>
            <w:tcW w:w="1340" w:type="dxa"/>
            <w:vAlign w:val="bottom"/>
          </w:tcPr>
          <w:p>
            <w:pPr>
              <w:jc w:val="right"/>
              <w:ind w:right="118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0.68</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0.04</w:t>
            </w:r>
          </w:p>
        </w:tc>
      </w:tr>
      <w:tr>
        <w:trPr>
          <w:trHeight w:val="192"/>
        </w:trPr>
        <w:tc>
          <w:tcPr>
            <w:tcW w:w="51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Income (loss) from discontinued operations</w:t>
            </w:r>
          </w:p>
        </w:tc>
        <w:tc>
          <w:tcPr>
            <w:tcW w:w="13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(0.07)</w:t>
            </w:r>
          </w:p>
        </w:tc>
      </w:tr>
      <w:tr>
        <w:trPr>
          <w:trHeight w:val="179"/>
        </w:trPr>
        <w:tc>
          <w:tcPr>
            <w:tcW w:w="5100" w:type="dxa"/>
            <w:vAlign w:val="bottom"/>
            <w:gridSpan w:val="2"/>
          </w:tcPr>
          <w:p>
            <w:pPr>
              <w:ind w:left="360"/>
              <w:spacing w:after="0"/>
              <w:rPr>
                <w:sz w:val="20"/>
                <w:szCs w:val="20"/>
                <w:color w:val="auto"/>
              </w:rPr>
            </w:pPr>
            <w:r>
              <w:rPr>
                <w:rFonts w:ascii="Arial" w:cs="Arial" w:eastAsia="Arial" w:hAnsi="Arial"/>
                <w:sz w:val="14"/>
                <w:szCs w:val="14"/>
                <w:color w:val="auto"/>
              </w:rPr>
              <w:t>Net income (loss) per common share</w:t>
            </w:r>
          </w:p>
        </w:tc>
        <w:tc>
          <w:tcPr>
            <w:tcW w:w="1340" w:type="dxa"/>
            <w:vAlign w:val="bottom"/>
            <w:tcBorders>
              <w:bottom w:val="single" w:sz="8" w:color="auto"/>
            </w:tcBorders>
          </w:tcPr>
          <w:p>
            <w:pPr>
              <w:jc w:val="right"/>
              <w:ind w:right="11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0.67</w:t>
            </w:r>
          </w:p>
        </w:tc>
        <w:tc>
          <w:tcPr>
            <w:tcW w:w="100" w:type="dxa"/>
            <w:vAlign w:val="bottom"/>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0.11</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59"/>
        </w:trPr>
        <w:tc>
          <w:tcPr>
            <w:tcW w:w="510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Weighted average common shares outstanding:</w:t>
            </w:r>
          </w:p>
        </w:tc>
        <w:tc>
          <w:tcPr>
            <w:tcW w:w="13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86"/>
        </w:trPr>
        <w:tc>
          <w:tcPr>
            <w:tcW w:w="5100" w:type="dxa"/>
            <w:vAlign w:val="bottom"/>
            <w:gridSpan w:val="2"/>
          </w:tcPr>
          <w:p>
            <w:pPr>
              <w:ind w:left="140"/>
              <w:spacing w:after="0"/>
              <w:rPr>
                <w:sz w:val="20"/>
                <w:szCs w:val="20"/>
                <w:color w:val="auto"/>
              </w:rPr>
            </w:pPr>
            <w:r>
              <w:rPr>
                <w:rFonts w:ascii="Arial" w:cs="Arial" w:eastAsia="Arial" w:hAnsi="Arial"/>
                <w:sz w:val="14"/>
                <w:szCs w:val="14"/>
                <w:color w:val="auto"/>
              </w:rPr>
              <w:t>Basic</w:t>
            </w:r>
          </w:p>
        </w:tc>
        <w:tc>
          <w:tcPr>
            <w:tcW w:w="1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106.0</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103.8</w:t>
            </w: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08"/>
        </w:trPr>
        <w:tc>
          <w:tcPr>
            <w:tcW w:w="51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13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118.7</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106.1</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71" w:name="page72"/>
    <w:bookmarkEnd w:id="71"/>
    <w:p>
      <w:pPr>
        <w:jc w:val="center"/>
        <w:ind w:right="20"/>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COMPREHENSIVE INCOME (LOSS)</w:t>
      </w:r>
    </w:p>
    <w:p>
      <w:pPr>
        <w:jc w:val="center"/>
        <w:ind w:right="20"/>
        <w:spacing w:after="0"/>
        <w:rPr>
          <w:sz w:val="20"/>
          <w:szCs w:val="20"/>
          <w:color w:val="auto"/>
        </w:rPr>
      </w:pPr>
      <w:r>
        <w:rPr>
          <w:rFonts w:ascii="Arial" w:cs="Arial" w:eastAsia="Arial" w:hAnsi="Arial"/>
          <w:sz w:val="14"/>
          <w:szCs w:val="14"/>
          <w:b w:val="1"/>
          <w:bCs w:val="1"/>
          <w:color w:val="auto"/>
        </w:rPr>
        <w:t>Years ended December 27, 2020, December 29, 2019, and December 30, 2018</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millions, except per share amounts)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2018</w:t>
            </w:r>
          </w:p>
        </w:tc>
      </w:tr>
      <w:tr>
        <w:trPr>
          <w:trHeight w:val="188"/>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380" w:type="dxa"/>
            <w:vAlign w:val="bottom"/>
            <w:tcBorders>
              <w:bottom w:val="single" w:sz="8" w:color="auto"/>
            </w:tcBorders>
            <w:shd w:val="clear" w:color="auto" w:fill="CCEEFF"/>
          </w:tcPr>
          <w:p>
            <w:pPr>
              <w:jc w:val="right"/>
              <w:ind w:right="122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w:t>
            </w: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66"/>
        </w:trPr>
        <w:tc>
          <w:tcPr>
            <w:tcW w:w="508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92"/>
        </w:trPr>
        <w:tc>
          <w:tcPr>
            <w:tcW w:w="5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 in cumulative translation adjustment</w:t>
            </w:r>
          </w:p>
        </w:tc>
        <w:tc>
          <w:tcPr>
            <w:tcW w:w="13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r>
      <w:tr>
        <w:trPr>
          <w:trHeight w:val="186"/>
        </w:trPr>
        <w:tc>
          <w:tcPr>
            <w:tcW w:w="50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Postretirement benefit reserve adjustment net of tax expense (income)</w:t>
            </w:r>
          </w:p>
        </w:tc>
        <w:tc>
          <w:tcPr>
            <w:tcW w:w="13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w:t>
            </w:r>
          </w:p>
        </w:tc>
      </w:tr>
      <w:tr>
        <w:trPr>
          <w:trHeight w:val="186"/>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13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r>
      <w:tr>
        <w:trPr>
          <w:trHeight w:val="17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Comprehensive income (loss)</w:t>
            </w:r>
          </w:p>
        </w:tc>
        <w:tc>
          <w:tcPr>
            <w:tcW w:w="13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186"/>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Comprehensive income (loss) attributable to noncontrolling interest</w:t>
            </w:r>
          </w:p>
        </w:tc>
        <w:tc>
          <w:tcPr>
            <w:tcW w:w="13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79"/>
        </w:trPr>
        <w:tc>
          <w:tcPr>
            <w:tcW w:w="5080" w:type="dxa"/>
            <w:vAlign w:val="bottom"/>
          </w:tcPr>
          <w:p>
            <w:pPr>
              <w:ind w:left="20"/>
              <w:spacing w:after="0"/>
              <w:rPr>
                <w:sz w:val="20"/>
                <w:szCs w:val="20"/>
                <w:color w:val="auto"/>
              </w:rPr>
            </w:pPr>
            <w:r>
              <w:rPr>
                <w:rFonts w:ascii="Arial" w:cs="Arial" w:eastAsia="Arial" w:hAnsi="Arial"/>
                <w:sz w:val="14"/>
                <w:szCs w:val="14"/>
                <w:color w:val="auto"/>
              </w:rPr>
              <w:t>Comprehensive income (loss) attributable to Kratos</w:t>
            </w:r>
          </w:p>
        </w:tc>
        <w:tc>
          <w:tcPr>
            <w:tcW w:w="1380" w:type="dxa"/>
            <w:vAlign w:val="bottom"/>
            <w:tcBorders>
              <w:bottom w:val="single" w:sz="8" w:color="auto"/>
            </w:tcBorders>
          </w:tcPr>
          <w:p>
            <w:pPr>
              <w:jc w:val="right"/>
              <w:ind w:right="122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81.4</w:t>
            </w: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5"/>
                <w:szCs w:val="15"/>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24"/>
        </w:trPr>
        <w:tc>
          <w:tcPr>
            <w:tcW w:w="50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5" w:right="359" w:bottom="1440" w:gutter="0" w:footer="0" w:header="0"/>
        </w:sectPr>
      </w:pPr>
    </w:p>
    <w:bookmarkStart w:id="72" w:name="page73"/>
    <w:bookmarkEnd w:id="72"/>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jc w:val="center"/>
        <w:spacing w:after="0"/>
        <w:rPr>
          <w:sz w:val="20"/>
          <w:szCs w:val="20"/>
          <w:color w:val="auto"/>
        </w:rPr>
      </w:pPr>
      <w:r>
        <w:rPr>
          <w:rFonts w:ascii="Arial" w:cs="Arial" w:eastAsia="Arial" w:hAnsi="Arial"/>
          <w:sz w:val="13"/>
          <w:szCs w:val="13"/>
          <w:b w:val="1"/>
          <w:bCs w:val="1"/>
          <w:color w:val="auto"/>
        </w:rPr>
        <w:t>Years ended December 27, 2020, December 29, 2019, and December 30, 2018</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ectPr>
          <w:pgSz w:w="11900" w:h="16838" w:orient="portrait"/>
          <w:cols w:equalWidth="0" w:num="1">
            <w:col w:w="11180"/>
          </w:cols>
          <w:pgMar w:left="360" w:top="895" w:right="359" w:bottom="1440" w:gutter="0" w:footer="0" w:header="0"/>
        </w:sect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Redeemable</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86"/>
        </w:trPr>
        <w:tc>
          <w:tcPr>
            <w:tcW w:w="43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78"/>
        </w:trPr>
        <w:tc>
          <w:tcPr>
            <w:tcW w:w="4320" w:type="dxa"/>
            <w:vAlign w:val="bottom"/>
          </w:tcPr>
          <w:p>
            <w:pPr>
              <w:spacing w:after="0"/>
              <w:rPr>
                <w:sz w:val="20"/>
                <w:szCs w:val="20"/>
                <w:color w:val="auto"/>
              </w:rPr>
            </w:pPr>
            <w:r>
              <w:rPr>
                <w:rFonts w:ascii="Arial" w:cs="Arial" w:eastAsia="Arial" w:hAnsi="Arial"/>
                <w:sz w:val="14"/>
                <w:szCs w:val="14"/>
                <w:b w:val="1"/>
                <w:bCs w:val="1"/>
                <w:color w:val="auto"/>
              </w:rPr>
              <w:t>Balance, December 31, 2017</w:t>
            </w:r>
          </w:p>
        </w:tc>
        <w:tc>
          <w:tcPr>
            <w:tcW w:w="9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4320" w:type="dxa"/>
            <w:vAlign w:val="bottom"/>
          </w:tcPr>
          <w:p>
            <w:pPr>
              <w:ind w:left="120"/>
              <w:spacing w:after="0"/>
              <w:rPr>
                <w:sz w:val="20"/>
                <w:szCs w:val="20"/>
                <w:color w:val="auto"/>
              </w:rPr>
            </w:pPr>
            <w:r>
              <w:rPr>
                <w:rFonts w:ascii="Arial" w:cs="Arial" w:eastAsia="Arial" w:hAnsi="Arial"/>
                <w:sz w:val="14"/>
                <w:szCs w:val="14"/>
                <w:color w:val="auto"/>
              </w:rPr>
              <w:t>Impact from the adoption of ASC 606 (Note 1)</w:t>
            </w:r>
          </w:p>
        </w:tc>
        <w:tc>
          <w:tcPr>
            <w:tcW w:w="9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32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9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4320" w:type="dxa"/>
            <w:vAlign w:val="bottom"/>
          </w:tcPr>
          <w:p>
            <w:pPr>
              <w:ind w:left="120"/>
              <w:spacing w:after="0" w:line="147" w:lineRule="exact"/>
              <w:rPr>
                <w:sz w:val="20"/>
                <w:szCs w:val="20"/>
                <w:color w:val="auto"/>
              </w:rPr>
            </w:pPr>
            <w:r>
              <w:rPr>
                <w:rFonts w:ascii="Arial" w:cs="Arial" w:eastAsia="Arial" w:hAnsi="Arial"/>
                <w:sz w:val="14"/>
                <w:szCs w:val="14"/>
                <w:color w:val="auto"/>
                <w:w w:val="96"/>
              </w:rPr>
              <w:t>Issuance of common stock for employee stock purchase plan, options</w:t>
            </w:r>
          </w:p>
        </w:tc>
        <w:tc>
          <w:tcPr>
            <w:tcW w:w="98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320" w:type="dxa"/>
            <w:vAlign w:val="bottom"/>
          </w:tcPr>
          <w:p>
            <w:pPr>
              <w:ind w:left="120"/>
              <w:spacing w:after="0"/>
              <w:rPr>
                <w:sz w:val="20"/>
                <w:szCs w:val="20"/>
                <w:color w:val="auto"/>
              </w:rPr>
            </w:pPr>
            <w:r>
              <w:rPr>
                <w:rFonts w:ascii="Arial" w:cs="Arial" w:eastAsia="Arial" w:hAnsi="Arial"/>
                <w:sz w:val="14"/>
                <w:szCs w:val="14"/>
                <w:color w:val="auto"/>
              </w:rPr>
              <w:t>and warrants</w:t>
            </w:r>
          </w:p>
        </w:tc>
        <w:tc>
          <w:tcPr>
            <w:tcW w:w="9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320" w:type="dxa"/>
            <w:vAlign w:val="bottom"/>
          </w:tcPr>
          <w:p>
            <w:pPr>
              <w:ind w:left="120"/>
              <w:spacing w:after="0"/>
              <w:rPr>
                <w:sz w:val="20"/>
                <w:szCs w:val="20"/>
                <w:color w:val="auto"/>
              </w:rPr>
            </w:pPr>
            <w:r>
              <w:rPr>
                <w:rFonts w:ascii="Arial" w:cs="Arial" w:eastAsia="Arial" w:hAnsi="Arial"/>
                <w:sz w:val="14"/>
                <w:szCs w:val="14"/>
                <w:color w:val="auto"/>
              </w:rPr>
              <w:t>Restricted stock issued and related taxes</w:t>
            </w:r>
          </w:p>
        </w:tc>
        <w:tc>
          <w:tcPr>
            <w:tcW w:w="9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320" w:type="dxa"/>
            <w:vAlign w:val="bottom"/>
          </w:tcPr>
          <w:p>
            <w:pPr>
              <w:ind w:left="120"/>
              <w:spacing w:after="0"/>
              <w:rPr>
                <w:sz w:val="20"/>
                <w:szCs w:val="20"/>
                <w:color w:val="auto"/>
              </w:rPr>
            </w:pPr>
            <w:r>
              <w:rPr>
                <w:rFonts w:ascii="Arial" w:cs="Arial" w:eastAsia="Arial" w:hAnsi="Arial"/>
                <w:sz w:val="14"/>
                <w:szCs w:val="14"/>
                <w:color w:val="auto"/>
              </w:rPr>
              <w:t>Net loss</w:t>
            </w:r>
          </w:p>
        </w:tc>
        <w:tc>
          <w:tcPr>
            <w:tcW w:w="9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4320" w:type="dxa"/>
            <w:vAlign w:val="bottom"/>
          </w:tcPr>
          <w:p>
            <w:pPr>
              <w:ind w:left="120"/>
              <w:spacing w:after="0"/>
              <w:rPr>
                <w:sz w:val="20"/>
                <w:szCs w:val="20"/>
                <w:color w:val="auto"/>
              </w:rPr>
            </w:pPr>
            <w:r>
              <w:rPr>
                <w:rFonts w:ascii="Arial" w:cs="Arial" w:eastAsia="Arial" w:hAnsi="Arial"/>
                <w:sz w:val="14"/>
                <w:szCs w:val="14"/>
                <w:color w:val="auto"/>
              </w:rPr>
              <w:t>Other comprehensive income, net of tax</w:t>
            </w:r>
          </w:p>
        </w:tc>
        <w:tc>
          <w:tcPr>
            <w:tcW w:w="98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320" w:type="dxa"/>
            <w:vAlign w:val="bottom"/>
          </w:tcPr>
          <w:p>
            <w:pPr>
              <w:spacing w:after="0"/>
              <w:rPr>
                <w:sz w:val="20"/>
                <w:szCs w:val="20"/>
                <w:color w:val="auto"/>
              </w:rPr>
            </w:pPr>
            <w:r>
              <w:rPr>
                <w:rFonts w:ascii="Arial" w:cs="Arial" w:eastAsia="Arial" w:hAnsi="Arial"/>
                <w:sz w:val="14"/>
                <w:szCs w:val="14"/>
                <w:b w:val="1"/>
                <w:bCs w:val="1"/>
                <w:color w:val="auto"/>
              </w:rPr>
              <w:t>Balance, December 30, 2018</w:t>
            </w:r>
          </w:p>
        </w:tc>
        <w:tc>
          <w:tcPr>
            <w:tcW w:w="9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432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9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4320" w:type="dxa"/>
            <w:vAlign w:val="bottom"/>
          </w:tcPr>
          <w:p>
            <w:pPr>
              <w:ind w:left="120"/>
              <w:spacing w:after="0" w:line="147" w:lineRule="exact"/>
              <w:rPr>
                <w:sz w:val="20"/>
                <w:szCs w:val="20"/>
                <w:color w:val="auto"/>
              </w:rPr>
            </w:pPr>
            <w:r>
              <w:rPr>
                <w:rFonts w:ascii="Arial" w:cs="Arial" w:eastAsia="Arial" w:hAnsi="Arial"/>
                <w:sz w:val="14"/>
                <w:szCs w:val="14"/>
                <w:color w:val="auto"/>
                <w:w w:val="96"/>
              </w:rPr>
              <w:t>Issuance of common stock for employee stock purchase plan, options</w:t>
            </w:r>
          </w:p>
        </w:tc>
        <w:tc>
          <w:tcPr>
            <w:tcW w:w="98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320" w:type="dxa"/>
            <w:vAlign w:val="bottom"/>
          </w:tcPr>
          <w:p>
            <w:pPr>
              <w:ind w:left="280"/>
              <w:spacing w:after="0"/>
              <w:rPr>
                <w:sz w:val="20"/>
                <w:szCs w:val="20"/>
                <w:color w:val="auto"/>
              </w:rPr>
            </w:pPr>
            <w:r>
              <w:rPr>
                <w:rFonts w:ascii="Arial" w:cs="Arial" w:eastAsia="Arial" w:hAnsi="Arial"/>
                <w:sz w:val="14"/>
                <w:szCs w:val="14"/>
                <w:color w:val="auto"/>
              </w:rPr>
              <w:t>and warrants</w:t>
            </w:r>
          </w:p>
        </w:tc>
        <w:tc>
          <w:tcPr>
            <w:tcW w:w="9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320" w:type="dxa"/>
            <w:vAlign w:val="bottom"/>
          </w:tcPr>
          <w:p>
            <w:pPr>
              <w:ind w:left="120"/>
              <w:spacing w:after="0"/>
              <w:rPr>
                <w:sz w:val="20"/>
                <w:szCs w:val="20"/>
                <w:color w:val="auto"/>
              </w:rPr>
            </w:pPr>
            <w:r>
              <w:rPr>
                <w:rFonts w:ascii="Arial" w:cs="Arial" w:eastAsia="Arial" w:hAnsi="Arial"/>
                <w:sz w:val="14"/>
                <w:szCs w:val="14"/>
                <w:color w:val="auto"/>
              </w:rPr>
              <w:t>Restricted stock issued and related taxes</w:t>
            </w:r>
          </w:p>
        </w:tc>
        <w:tc>
          <w:tcPr>
            <w:tcW w:w="9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320" w:type="dxa"/>
            <w:vAlign w:val="bottom"/>
          </w:tcPr>
          <w:p>
            <w:pPr>
              <w:ind w:left="120"/>
              <w:spacing w:after="0"/>
              <w:rPr>
                <w:sz w:val="20"/>
                <w:szCs w:val="20"/>
                <w:color w:val="auto"/>
              </w:rPr>
            </w:pPr>
            <w:r>
              <w:rPr>
                <w:rFonts w:ascii="Arial" w:cs="Arial" w:eastAsia="Arial" w:hAnsi="Arial"/>
                <w:sz w:val="14"/>
                <w:szCs w:val="14"/>
                <w:color w:val="auto"/>
              </w:rPr>
              <w:t>Issuance of common stock for acquisitions</w:t>
            </w:r>
          </w:p>
        </w:tc>
        <w:tc>
          <w:tcPr>
            <w:tcW w:w="9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32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9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9"/>
        </w:trPr>
        <w:tc>
          <w:tcPr>
            <w:tcW w:w="4320" w:type="dxa"/>
            <w:vAlign w:val="bottom"/>
          </w:tcPr>
          <w:p>
            <w:pPr>
              <w:ind w:left="120"/>
              <w:spacing w:after="0"/>
              <w:rPr>
                <w:sz w:val="20"/>
                <w:szCs w:val="20"/>
                <w:color w:val="auto"/>
              </w:rPr>
            </w:pPr>
            <w:r>
              <w:rPr>
                <w:rFonts w:ascii="Arial" w:cs="Arial" w:eastAsia="Arial" w:hAnsi="Arial"/>
                <w:sz w:val="14"/>
                <w:szCs w:val="14"/>
                <w:color w:val="auto"/>
              </w:rPr>
              <w:t>Other comprehensive income, net of tax</w:t>
            </w:r>
          </w:p>
        </w:tc>
        <w:tc>
          <w:tcPr>
            <w:tcW w:w="9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4320" w:type="dxa"/>
            <w:vAlign w:val="bottom"/>
          </w:tcPr>
          <w:p>
            <w:pPr>
              <w:ind w:left="280"/>
              <w:spacing w:after="0"/>
              <w:rPr>
                <w:sz w:val="20"/>
                <w:szCs w:val="20"/>
                <w:color w:val="auto"/>
              </w:rPr>
            </w:pPr>
            <w:r>
              <w:rPr>
                <w:rFonts w:ascii="Arial" w:cs="Arial" w:eastAsia="Arial" w:hAnsi="Arial"/>
                <w:sz w:val="14"/>
                <w:szCs w:val="14"/>
                <w:color w:val="auto"/>
              </w:rPr>
              <w:t>Changes in noncontrolling interest</w:t>
            </w:r>
          </w:p>
        </w:tc>
        <w:tc>
          <w:tcPr>
            <w:tcW w:w="98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82"/>
        </w:trPr>
        <w:tc>
          <w:tcPr>
            <w:tcW w:w="4320" w:type="dxa"/>
            <w:vAlign w:val="bottom"/>
          </w:tcPr>
          <w:p>
            <w:pPr>
              <w:spacing w:after="0"/>
              <w:rPr>
                <w:sz w:val="20"/>
                <w:szCs w:val="20"/>
                <w:color w:val="auto"/>
              </w:rPr>
            </w:pPr>
            <w:r>
              <w:rPr>
                <w:rFonts w:ascii="Arial" w:cs="Arial" w:eastAsia="Arial" w:hAnsi="Arial"/>
                <w:sz w:val="14"/>
                <w:szCs w:val="14"/>
                <w:b w:val="1"/>
                <w:bCs w:val="1"/>
                <w:color w:val="auto"/>
              </w:rPr>
              <w:t>Balance, December 29, 2019</w:t>
            </w:r>
          </w:p>
        </w:tc>
        <w:tc>
          <w:tcPr>
            <w:tcW w:w="9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84"/>
        </w:trPr>
        <w:tc>
          <w:tcPr>
            <w:tcW w:w="432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9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4320" w:type="dxa"/>
            <w:vAlign w:val="bottom"/>
          </w:tcPr>
          <w:p>
            <w:pPr>
              <w:ind w:left="120"/>
              <w:spacing w:after="0" w:line="147" w:lineRule="exact"/>
              <w:rPr>
                <w:sz w:val="20"/>
                <w:szCs w:val="20"/>
                <w:color w:val="auto"/>
              </w:rPr>
            </w:pPr>
            <w:r>
              <w:rPr>
                <w:rFonts w:ascii="Arial" w:cs="Arial" w:eastAsia="Arial" w:hAnsi="Arial"/>
                <w:sz w:val="14"/>
                <w:szCs w:val="14"/>
                <w:color w:val="auto"/>
                <w:w w:val="96"/>
              </w:rPr>
              <w:t>Issuance of common stock for employee stock purchase plan, options</w:t>
            </w:r>
          </w:p>
        </w:tc>
        <w:tc>
          <w:tcPr>
            <w:tcW w:w="98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320" w:type="dxa"/>
            <w:vAlign w:val="bottom"/>
          </w:tcPr>
          <w:p>
            <w:pPr>
              <w:ind w:left="280"/>
              <w:spacing w:after="0"/>
              <w:rPr>
                <w:sz w:val="20"/>
                <w:szCs w:val="20"/>
                <w:color w:val="auto"/>
              </w:rPr>
            </w:pPr>
            <w:r>
              <w:rPr>
                <w:rFonts w:ascii="Arial" w:cs="Arial" w:eastAsia="Arial" w:hAnsi="Arial"/>
                <w:sz w:val="14"/>
                <w:szCs w:val="14"/>
                <w:color w:val="auto"/>
              </w:rPr>
              <w:t>and warrants</w:t>
            </w:r>
          </w:p>
        </w:tc>
        <w:tc>
          <w:tcPr>
            <w:tcW w:w="9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320" w:type="dxa"/>
            <w:vAlign w:val="bottom"/>
          </w:tcPr>
          <w:p>
            <w:pPr>
              <w:ind w:left="120"/>
              <w:spacing w:after="0"/>
              <w:rPr>
                <w:sz w:val="20"/>
                <w:szCs w:val="20"/>
                <w:color w:val="auto"/>
              </w:rPr>
            </w:pPr>
            <w:r>
              <w:rPr>
                <w:rFonts w:ascii="Arial" w:cs="Arial" w:eastAsia="Arial" w:hAnsi="Arial"/>
                <w:sz w:val="14"/>
                <w:szCs w:val="14"/>
                <w:color w:val="auto"/>
              </w:rPr>
              <w:t>Restricted stock issued and related taxes</w:t>
            </w:r>
          </w:p>
        </w:tc>
        <w:tc>
          <w:tcPr>
            <w:tcW w:w="9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320" w:type="dxa"/>
            <w:vAlign w:val="bottom"/>
          </w:tcPr>
          <w:p>
            <w:pPr>
              <w:ind w:left="120"/>
              <w:spacing w:after="0"/>
              <w:rPr>
                <w:sz w:val="20"/>
                <w:szCs w:val="20"/>
                <w:color w:val="auto"/>
              </w:rPr>
            </w:pPr>
            <w:r>
              <w:rPr>
                <w:rFonts w:ascii="Arial" w:cs="Arial" w:eastAsia="Arial" w:hAnsi="Arial"/>
                <w:sz w:val="14"/>
                <w:szCs w:val="14"/>
                <w:color w:val="auto"/>
              </w:rPr>
              <w:t>Issuance of common stock for acquisitions</w:t>
            </w:r>
          </w:p>
        </w:tc>
        <w:tc>
          <w:tcPr>
            <w:tcW w:w="9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32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9"/>
        </w:trPr>
        <w:tc>
          <w:tcPr>
            <w:tcW w:w="4320" w:type="dxa"/>
            <w:vAlign w:val="bottom"/>
          </w:tcPr>
          <w:p>
            <w:pPr>
              <w:ind w:left="120"/>
              <w:spacing w:after="0"/>
              <w:rPr>
                <w:sz w:val="20"/>
                <w:szCs w:val="20"/>
                <w:color w:val="auto"/>
              </w:rPr>
            </w:pPr>
            <w:r>
              <w:rPr>
                <w:rFonts w:ascii="Arial" w:cs="Arial" w:eastAsia="Arial" w:hAnsi="Arial"/>
                <w:sz w:val="14"/>
                <w:szCs w:val="14"/>
                <w:color w:val="auto"/>
              </w:rPr>
              <w:t>Other comprehensive income, net of tax</w:t>
            </w:r>
          </w:p>
        </w:tc>
        <w:tc>
          <w:tcPr>
            <w:tcW w:w="98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4320" w:type="dxa"/>
            <w:vAlign w:val="bottom"/>
          </w:tcPr>
          <w:p>
            <w:pPr>
              <w:ind w:left="120"/>
              <w:spacing w:after="0"/>
              <w:rPr>
                <w:sz w:val="20"/>
                <w:szCs w:val="20"/>
                <w:color w:val="auto"/>
              </w:rPr>
            </w:pPr>
            <w:r>
              <w:rPr>
                <w:rFonts w:ascii="Arial" w:cs="Arial" w:eastAsia="Arial" w:hAnsi="Arial"/>
                <w:sz w:val="14"/>
                <w:szCs w:val="14"/>
                <w:color w:val="auto"/>
              </w:rPr>
              <w:t>Changes in noncontrolling interest</w:t>
            </w:r>
          </w:p>
        </w:tc>
        <w:tc>
          <w:tcPr>
            <w:tcW w:w="98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20"/>
                <w:szCs w:val="20"/>
                <w:color w:val="auto"/>
              </w:rPr>
            </w:pPr>
            <w:r>
              <w:rPr>
                <w:rFonts w:ascii="Arial" w:cs="Arial" w:eastAsia="Arial" w:hAnsi="Arial"/>
                <w:sz w:val="14"/>
                <w:szCs w:val="14"/>
                <w:b w:val="1"/>
                <w:bCs w:val="1"/>
                <w:color w:val="auto"/>
              </w:rPr>
              <w:t>Balance, December 27, 2020</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168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6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tcPr>
          <w:p>
            <w:pPr>
              <w:jc w:val="center"/>
              <w:ind w:right="180"/>
              <w:spacing w:after="0" w:line="102" w:lineRule="exact"/>
              <w:rPr>
                <w:sz w:val="20"/>
                <w:szCs w:val="20"/>
                <w:color w:val="auto"/>
              </w:rPr>
            </w:pPr>
            <w:r>
              <w:rPr>
                <w:rFonts w:ascii="Arial" w:cs="Arial" w:eastAsia="Arial" w:hAnsi="Arial"/>
                <w:sz w:val="11"/>
                <w:szCs w:val="11"/>
                <w:b w:val="1"/>
                <w:bCs w:val="1"/>
                <w:color w:val="auto"/>
              </w:rPr>
              <w:t>Paid-In</w:t>
            </w:r>
          </w:p>
        </w:tc>
        <w:tc>
          <w:tcPr>
            <w:tcW w:w="1120" w:type="dxa"/>
            <w:vAlign w:val="bottom"/>
            <w:gridSpan w:val="3"/>
          </w:tcPr>
          <w:p>
            <w:pPr>
              <w:jc w:val="center"/>
              <w:ind w:right="80"/>
              <w:spacing w:after="0" w:line="102" w:lineRule="exact"/>
              <w:rPr>
                <w:sz w:val="20"/>
                <w:szCs w:val="20"/>
                <w:color w:val="auto"/>
              </w:rPr>
            </w:pPr>
            <w:r>
              <w:rPr>
                <w:rFonts w:ascii="Arial" w:cs="Arial" w:eastAsia="Arial" w:hAnsi="Arial"/>
                <w:sz w:val="11"/>
                <w:szCs w:val="11"/>
                <w:b w:val="1"/>
                <w:bCs w:val="1"/>
                <w:color w:val="auto"/>
              </w:rPr>
              <w:t>Comprehensive</w:t>
            </w:r>
          </w:p>
        </w:tc>
        <w:tc>
          <w:tcPr>
            <w:tcW w:w="1060" w:type="dxa"/>
            <w:vAlign w:val="bottom"/>
            <w:gridSpan w:val="3"/>
          </w:tcPr>
          <w:p>
            <w:pPr>
              <w:jc w:val="center"/>
              <w:ind w:right="100"/>
              <w:spacing w:after="0" w:line="102" w:lineRule="exact"/>
              <w:rPr>
                <w:sz w:val="20"/>
                <w:szCs w:val="20"/>
                <w:color w:val="auto"/>
              </w:rPr>
            </w:pPr>
            <w:r>
              <w:rPr>
                <w:rFonts w:ascii="Arial" w:cs="Arial" w:eastAsia="Arial" w:hAnsi="Arial"/>
                <w:sz w:val="11"/>
                <w:szCs w:val="11"/>
                <w:b w:val="1"/>
                <w:bCs w:val="1"/>
                <w:color w:val="auto"/>
              </w:rPr>
              <w:t>Accumulated</w:t>
            </w:r>
          </w:p>
        </w:tc>
        <w:tc>
          <w:tcPr>
            <w:tcW w:w="96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201"/>
        </w:trPr>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Amounts</w:t>
            </w:r>
          </w:p>
        </w:tc>
        <w:tc>
          <w:tcPr>
            <w:tcW w:w="8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7"/>
                <w:szCs w:val="17"/>
                <w:color w:val="auto"/>
              </w:rPr>
            </w:pPr>
          </w:p>
        </w:tc>
        <w:tc>
          <w:tcPr>
            <w:tcW w:w="780" w:type="dxa"/>
            <w:vAlign w:val="bottom"/>
          </w:tcPr>
          <w:p>
            <w:pPr>
              <w:jc w:val="center"/>
              <w:ind w:right="1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7"/>
        </w:trPr>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103.3</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1,233.7</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(720.8)</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511.5</w:t>
            </w:r>
          </w:p>
        </w:tc>
        <w:tc>
          <w:tcPr>
            <w:tcW w:w="0" w:type="dxa"/>
            <w:vAlign w:val="bottom"/>
          </w:tcPr>
          <w:p>
            <w:pPr>
              <w:spacing w:after="0"/>
              <w:rPr>
                <w:sz w:val="1"/>
                <w:szCs w:val="1"/>
                <w:color w:val="auto"/>
              </w:rPr>
            </w:pPr>
          </w:p>
        </w:tc>
      </w:tr>
      <w:tr>
        <w:trPr>
          <w:trHeight w:val="184"/>
        </w:trPr>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9"/>
        </w:trPr>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324"/>
        </w:trPr>
        <w:tc>
          <w:tcPr>
            <w:tcW w:w="82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9"/>
        </w:trPr>
        <w:tc>
          <w:tcPr>
            <w:tcW w:w="82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9"/>
        </w:trPr>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95"/>
        </w:trPr>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2"/>
        </w:trPr>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103.8</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1,244.5</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(724.5)</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519.3</w:t>
            </w:r>
          </w:p>
        </w:tc>
        <w:tc>
          <w:tcPr>
            <w:tcW w:w="0" w:type="dxa"/>
            <w:vAlign w:val="bottom"/>
          </w:tcPr>
          <w:p>
            <w:pPr>
              <w:spacing w:after="0"/>
              <w:rPr>
                <w:sz w:val="1"/>
                <w:szCs w:val="1"/>
                <w:color w:val="auto"/>
              </w:rPr>
            </w:pPr>
          </w:p>
        </w:tc>
      </w:tr>
      <w:tr>
        <w:trPr>
          <w:trHeight w:val="184"/>
        </w:trPr>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324"/>
        </w:trPr>
        <w:tc>
          <w:tcPr>
            <w:tcW w:w="820" w:type="dxa"/>
            <w:vAlign w:val="bottom"/>
          </w:tcPr>
          <w:p>
            <w:pPr>
              <w:jc w:val="right"/>
              <w:ind w:right="8"/>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9"/>
        </w:trPr>
        <w:tc>
          <w:tcPr>
            <w:tcW w:w="82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9"/>
        </w:trPr>
        <w:tc>
          <w:tcPr>
            <w:tcW w:w="82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89"/>
        </w:trPr>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9"/>
        </w:trPr>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5"/>
        </w:trPr>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106.6</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1,286.5</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(712.0)</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574.1</w:t>
            </w:r>
          </w:p>
        </w:tc>
        <w:tc>
          <w:tcPr>
            <w:tcW w:w="0" w:type="dxa"/>
            <w:vAlign w:val="bottom"/>
          </w:tcPr>
          <w:p>
            <w:pPr>
              <w:spacing w:after="0"/>
              <w:rPr>
                <w:sz w:val="1"/>
                <w:szCs w:val="1"/>
                <w:color w:val="auto"/>
              </w:rPr>
            </w:pPr>
          </w:p>
        </w:tc>
      </w:tr>
      <w:tr>
        <w:trPr>
          <w:trHeight w:val="184"/>
        </w:trPr>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324"/>
        </w:trPr>
        <w:tc>
          <w:tcPr>
            <w:tcW w:w="82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9"/>
        </w:trPr>
        <w:tc>
          <w:tcPr>
            <w:tcW w:w="82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820" w:type="dxa"/>
            <w:vAlign w:val="bottom"/>
          </w:tcPr>
          <w:p>
            <w:pPr>
              <w:jc w:val="right"/>
              <w:ind w:right="8"/>
              <w:spacing w:after="0"/>
              <w:rPr>
                <w:sz w:val="20"/>
                <w:szCs w:val="20"/>
                <w:color w:val="auto"/>
              </w:rPr>
            </w:pPr>
            <w:r>
              <w:rPr>
                <w:rFonts w:ascii="Arial" w:cs="Arial" w:eastAsia="Arial" w:hAnsi="Arial"/>
                <w:sz w:val="14"/>
                <w:szCs w:val="14"/>
                <w:color w:val="auto"/>
              </w:rPr>
              <w:t>15.8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245.4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245.4</w:t>
            </w:r>
          </w:p>
        </w:tc>
        <w:tc>
          <w:tcPr>
            <w:tcW w:w="0" w:type="dxa"/>
            <w:vAlign w:val="bottom"/>
          </w:tcPr>
          <w:p>
            <w:pPr>
              <w:spacing w:after="0"/>
              <w:rPr>
                <w:sz w:val="1"/>
                <w:szCs w:val="1"/>
                <w:color w:val="auto"/>
              </w:rPr>
            </w:pPr>
          </w:p>
        </w:tc>
      </w:tr>
      <w:tr>
        <w:trPr>
          <w:trHeight w:val="189"/>
        </w:trPr>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79.6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79.6</w:t>
            </w:r>
          </w:p>
        </w:tc>
        <w:tc>
          <w:tcPr>
            <w:tcW w:w="0" w:type="dxa"/>
            <w:vAlign w:val="bottom"/>
          </w:tcPr>
          <w:p>
            <w:pPr>
              <w:spacing w:after="0"/>
              <w:rPr>
                <w:sz w:val="1"/>
                <w:szCs w:val="1"/>
                <w:color w:val="auto"/>
              </w:rPr>
            </w:pPr>
          </w:p>
        </w:tc>
      </w:tr>
      <w:tr>
        <w:trPr>
          <w:trHeight w:val="189"/>
        </w:trPr>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5"/>
        </w:trPr>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123.0</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1,556.3</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(632.4)</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925.3</w:t>
            </w:r>
          </w:p>
        </w:tc>
        <w:tc>
          <w:tcPr>
            <w:tcW w:w="0" w:type="dxa"/>
            <w:vAlign w:val="bottom"/>
          </w:tcPr>
          <w:p>
            <w:pPr>
              <w:spacing w:after="0"/>
              <w:rPr>
                <w:sz w:val="1"/>
                <w:szCs w:val="1"/>
                <w:color w:val="auto"/>
              </w:rPr>
            </w:pPr>
          </w:p>
        </w:tc>
      </w:tr>
      <w:tr>
        <w:trPr>
          <w:trHeight w:val="24"/>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-3406140</wp:posOffset>
            </wp:positionH>
            <wp:positionV relativeFrom="paragraph">
              <wp:posOffset>-3205480</wp:posOffset>
            </wp:positionV>
            <wp:extent cx="7106285"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6">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-2957195</wp:posOffset>
            </wp:positionV>
            <wp:extent cx="7106285" cy="1200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7">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-2630805</wp:posOffset>
            </wp:positionV>
            <wp:extent cx="7106285" cy="1200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8">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-2390775</wp:posOffset>
            </wp:positionV>
            <wp:extent cx="7106285" cy="1200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9">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-2142490</wp:posOffset>
            </wp:positionV>
            <wp:extent cx="7106285" cy="1200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0">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-1816735</wp:posOffset>
            </wp:positionV>
            <wp:extent cx="7106285" cy="1200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1">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-1576705</wp:posOffset>
            </wp:positionV>
            <wp:extent cx="7106285" cy="1200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2">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-1336675</wp:posOffset>
            </wp:positionV>
            <wp:extent cx="7106285" cy="1200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3">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-1087755</wp:posOffset>
            </wp:positionV>
            <wp:extent cx="7106285" cy="1200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4">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-762635</wp:posOffset>
            </wp:positionV>
            <wp:extent cx="7106285" cy="1200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5">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-521970</wp:posOffset>
            </wp:positionV>
            <wp:extent cx="7106285" cy="1200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6">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-281940</wp:posOffset>
            </wp:positionV>
            <wp:extent cx="7106285" cy="1200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7">
                      <a:extLst>
                        <a:ext uri="{28A0092B-C50C-407E-A947-70E740481C1C}"/>
                      </a:extLst>
                    </a:blip>
                    <a:srcRect/>
                    <a:stretch>
                      <a:fillRect/>
                    </a:stretch>
                  </pic:blipFill>
                  <pic:spPr bwMode="auto">
                    <a:xfrm>
                      <a:off x="0" y="0"/>
                      <a:ext cx="7106285"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60"/>
            <w:col w:w="5820"/>
          </w:cols>
          <w:pgMar w:left="360" w:top="89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5" w:right="359" w:bottom="1440" w:gutter="0" w:footer="0" w:header="0"/>
          <w:type w:val="continuous"/>
        </w:sectPr>
      </w:pPr>
    </w:p>
    <w:bookmarkStart w:id="73" w:name="page74"/>
    <w:bookmarkEnd w:id="73"/>
    <w:p>
      <w:pPr>
        <w:jc w:val="center"/>
        <w:ind w:left="340" w:right="2680"/>
        <w:spacing w:after="0" w:line="261" w:lineRule="auto"/>
        <w:rPr>
          <w:sz w:val="20"/>
          <w:szCs w:val="20"/>
          <w:color w:val="auto"/>
        </w:rPr>
      </w:pPr>
      <w:r>
        <w:rPr>
          <w:rFonts w:ascii="Arial" w:cs="Arial" w:eastAsia="Arial" w:hAnsi="Arial"/>
          <w:sz w:val="18"/>
          <w:szCs w:val="18"/>
          <w:b w:val="1"/>
          <w:bCs w:val="1"/>
          <w:color w:val="auto"/>
        </w:rPr>
        <w:t>KRATOS DEFENSE &amp; SECURITY SOLUTIONS, INC. CONSOLIDATED STATEMENTS OF CASH FLOWS Years ended December 27, 2020, December 29, 2019, and December 30, 2018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20" w:type="dxa"/>
            <w:vAlign w:val="bottom"/>
          </w:tcPr>
          <w:p>
            <w:pPr>
              <w:ind w:left="140"/>
              <w:spacing w:after="0"/>
              <w:rPr>
                <w:sz w:val="20"/>
                <w:szCs w:val="20"/>
                <w:color w:val="auto"/>
              </w:rPr>
            </w:pPr>
            <w:r>
              <w:rPr>
                <w:rFonts w:ascii="Arial" w:cs="Arial" w:eastAsia="Arial" w:hAnsi="Arial"/>
                <w:sz w:val="16"/>
                <w:szCs w:val="16"/>
                <w:color w:val="auto"/>
              </w:rPr>
              <w:t>Net income (loss)</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79.4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(loss) from discontinued operations</w:t>
            </w: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7"/>
        </w:trPr>
        <w:tc>
          <w:tcPr>
            <w:tcW w:w="7020" w:type="dxa"/>
            <w:vAlign w:val="bottom"/>
          </w:tcPr>
          <w:p>
            <w:pPr>
              <w:ind w:left="140"/>
              <w:spacing w:after="0"/>
              <w:rPr>
                <w:sz w:val="20"/>
                <w:szCs w:val="20"/>
                <w:color w:val="auto"/>
              </w:rPr>
            </w:pPr>
            <w:r>
              <w:rPr>
                <w:rFonts w:ascii="Arial" w:cs="Arial" w:eastAsia="Arial" w:hAnsi="Arial"/>
                <w:sz w:val="16"/>
                <w:szCs w:val="16"/>
                <w:color w:val="auto"/>
              </w:rPr>
              <w:t>Income from continuing operations</w:t>
            </w: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69"/>
        </w:trPr>
        <w:tc>
          <w:tcPr>
            <w:tcW w:w="7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Adjustments to reconcile income from continuing operations to net cash provided by (used in)</w:t>
            </w:r>
          </w:p>
        </w:tc>
        <w:tc>
          <w:tcPr>
            <w:tcW w:w="8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activities from continuing operations: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7020" w:type="dxa"/>
            <w:vAlign w:val="bottom"/>
          </w:tcPr>
          <w:p>
            <w:pPr>
              <w:ind w:left="360"/>
              <w:spacing w:after="0"/>
              <w:rPr>
                <w:sz w:val="20"/>
                <w:szCs w:val="20"/>
                <w:color w:val="auto"/>
              </w:rPr>
            </w:pPr>
            <w:r>
              <w:rPr>
                <w:rFonts w:ascii="Arial" w:cs="Arial" w:eastAsia="Arial" w:hAnsi="Arial"/>
                <w:sz w:val="16"/>
                <w:szCs w:val="16"/>
                <w:color w:val="auto"/>
              </w:rPr>
              <w:t>Amortization of lease right-of-use assets</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3"/>
        </w:trPr>
        <w:tc>
          <w:tcPr>
            <w:tcW w:w="7020" w:type="dxa"/>
            <w:vAlign w:val="bottom"/>
          </w:tcPr>
          <w:p>
            <w:pPr>
              <w:ind w:left="360"/>
              <w:spacing w:after="0"/>
              <w:rPr>
                <w:sz w:val="20"/>
                <w:szCs w:val="20"/>
                <w:color w:val="auto"/>
              </w:rPr>
            </w:pPr>
            <w:r>
              <w:rPr>
                <w:rFonts w:ascii="Arial" w:cs="Arial" w:eastAsia="Arial" w:hAnsi="Arial"/>
                <w:sz w:val="16"/>
                <w:szCs w:val="16"/>
                <w:color w:val="auto"/>
              </w:rPr>
              <w:t>Amortization of deferred financing costs</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Provision for doubtful accounts</w:t>
            </w: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7020" w:type="dxa"/>
            <w:vAlign w:val="bottom"/>
          </w:tcPr>
          <w:p>
            <w:pPr>
              <w:ind w:left="360"/>
              <w:spacing w:after="0"/>
              <w:rPr>
                <w:sz w:val="20"/>
                <w:szCs w:val="20"/>
                <w:color w:val="auto"/>
              </w:rPr>
            </w:pPr>
            <w:r>
              <w:rPr>
                <w:rFonts w:ascii="Arial" w:cs="Arial" w:eastAsia="Arial" w:hAnsi="Arial"/>
                <w:sz w:val="16"/>
                <w:szCs w:val="16"/>
                <w:color w:val="auto"/>
              </w:rPr>
              <w:t>Changes in assets and liabilities, net of acquisitions:</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Accounts receivable</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3"/>
        </w:trPr>
        <w:tc>
          <w:tcPr>
            <w:tcW w:w="7020" w:type="dxa"/>
            <w:vAlign w:val="bottom"/>
          </w:tcPr>
          <w:p>
            <w:pPr>
              <w:ind w:left="560"/>
              <w:spacing w:after="0"/>
              <w:rPr>
                <w:sz w:val="20"/>
                <w:szCs w:val="20"/>
                <w:color w:val="auto"/>
              </w:rPr>
            </w:pPr>
            <w:r>
              <w:rPr>
                <w:rFonts w:ascii="Arial" w:cs="Arial" w:eastAsia="Arial" w:hAnsi="Arial"/>
                <w:sz w:val="16"/>
                <w:szCs w:val="16"/>
                <w:color w:val="auto"/>
              </w:rPr>
              <w:t>Unbilled receivables</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Inventoried costs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7020" w:type="dxa"/>
            <w:vAlign w:val="bottom"/>
          </w:tcPr>
          <w:p>
            <w:pPr>
              <w:ind w:left="560"/>
              <w:spacing w:after="0"/>
              <w:rPr>
                <w:sz w:val="20"/>
                <w:szCs w:val="20"/>
                <w:color w:val="auto"/>
              </w:rPr>
            </w:pPr>
            <w:r>
              <w:rPr>
                <w:rFonts w:ascii="Arial" w:cs="Arial" w:eastAsia="Arial" w:hAnsi="Arial"/>
                <w:sz w:val="16"/>
                <w:szCs w:val="16"/>
                <w:color w:val="auto"/>
              </w:rPr>
              <w:t>Prepaid expenses</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Other assets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7020" w:type="dxa"/>
            <w:vAlign w:val="bottom"/>
          </w:tcPr>
          <w:p>
            <w:pPr>
              <w:ind w:left="560"/>
              <w:spacing w:after="0"/>
              <w:rPr>
                <w:sz w:val="20"/>
                <w:szCs w:val="20"/>
                <w:color w:val="auto"/>
              </w:rPr>
            </w:pPr>
            <w:r>
              <w:rPr>
                <w:rFonts w:ascii="Arial" w:cs="Arial" w:eastAsia="Arial" w:hAnsi="Arial"/>
                <w:sz w:val="16"/>
                <w:szCs w:val="16"/>
                <w:color w:val="auto"/>
              </w:rPr>
              <w:t>Operating lease liabilities</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Accounts payable</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13"/>
        </w:trPr>
        <w:tc>
          <w:tcPr>
            <w:tcW w:w="7020" w:type="dxa"/>
            <w:vAlign w:val="bottom"/>
          </w:tcPr>
          <w:p>
            <w:pPr>
              <w:ind w:left="560"/>
              <w:spacing w:after="0"/>
              <w:rPr>
                <w:sz w:val="20"/>
                <w:szCs w:val="20"/>
                <w:color w:val="auto"/>
              </w:rPr>
            </w:pPr>
            <w:r>
              <w:rPr>
                <w:rFonts w:ascii="Arial" w:cs="Arial" w:eastAsia="Arial" w:hAnsi="Arial"/>
                <w:sz w:val="16"/>
                <w:szCs w:val="16"/>
                <w:color w:val="auto"/>
              </w:rPr>
              <w:t>Accrued expenses</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Accrued compensation</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7020" w:type="dxa"/>
            <w:vAlign w:val="bottom"/>
          </w:tcPr>
          <w:p>
            <w:pPr>
              <w:ind w:left="560"/>
              <w:spacing w:after="0"/>
              <w:rPr>
                <w:sz w:val="20"/>
                <w:szCs w:val="20"/>
                <w:color w:val="auto"/>
              </w:rPr>
            </w:pPr>
            <w:r>
              <w:rPr>
                <w:rFonts w:ascii="Arial" w:cs="Arial" w:eastAsia="Arial" w:hAnsi="Arial"/>
                <w:sz w:val="16"/>
                <w:szCs w:val="16"/>
                <w:color w:val="auto"/>
              </w:rPr>
              <w:t>Accrued interest</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3"/>
        </w:trPr>
        <w:tc>
          <w:tcPr>
            <w:tcW w:w="7020" w:type="dxa"/>
            <w:vAlign w:val="bottom"/>
          </w:tcPr>
          <w:p>
            <w:pPr>
              <w:ind w:left="560"/>
              <w:spacing w:after="0"/>
              <w:rPr>
                <w:sz w:val="20"/>
                <w:szCs w:val="20"/>
                <w:color w:val="auto"/>
              </w:rPr>
            </w:pPr>
            <w:r>
              <w:rPr>
                <w:rFonts w:ascii="Arial" w:cs="Arial" w:eastAsia="Arial" w:hAnsi="Arial"/>
                <w:sz w:val="16"/>
                <w:szCs w:val="16"/>
                <w:color w:val="auto"/>
              </w:rPr>
              <w:t>Income tax receivable and payable</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Other liabilities</w:t>
            </w: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6"/>
        </w:trPr>
        <w:tc>
          <w:tcPr>
            <w:tcW w:w="70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operating activities from continuing operations</w:t>
            </w: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1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20" w:type="dxa"/>
            <w:vAlign w:val="bottom"/>
          </w:tcPr>
          <w:p>
            <w:pPr>
              <w:ind w:left="140"/>
              <w:spacing w:after="0"/>
              <w:rPr>
                <w:sz w:val="20"/>
                <w:szCs w:val="20"/>
                <w:color w:val="auto"/>
              </w:rPr>
            </w:pPr>
            <w:r>
              <w:rPr>
                <w:rFonts w:ascii="Arial" w:cs="Arial" w:eastAsia="Arial" w:hAnsi="Arial"/>
                <w:sz w:val="16"/>
                <w:szCs w:val="16"/>
                <w:color w:val="auto"/>
              </w:rPr>
              <w:t>Cash paid for acquisitions, net of cash acquired</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 of assets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0" w:type="dxa"/>
            <w:vAlign w:val="bottom"/>
          </w:tcPr>
          <w:p>
            <w:pPr>
              <w:spacing w:after="0"/>
              <w:rPr>
                <w:sz w:val="1"/>
                <w:szCs w:val="1"/>
                <w:color w:val="auto"/>
              </w:rPr>
            </w:pPr>
          </w:p>
        </w:tc>
      </w:tr>
      <w:tr>
        <w:trPr>
          <w:trHeight w:val="213"/>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Capital expenditures</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3"/>
        </w:trPr>
        <w:tc>
          <w:tcPr>
            <w:tcW w:w="7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(used in) investing activities from continuing operations</w:t>
            </w:r>
          </w:p>
        </w:tc>
        <w:tc>
          <w:tcPr>
            <w:tcW w:w="8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00"/>
        </w:trPr>
        <w:tc>
          <w:tcPr>
            <w:tcW w:w="702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the issuance of long-term debt</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020" w:type="dxa"/>
            <w:vAlign w:val="bottom"/>
          </w:tcPr>
          <w:p>
            <w:pPr>
              <w:ind w:left="140"/>
              <w:spacing w:after="0"/>
              <w:rPr>
                <w:sz w:val="20"/>
                <w:szCs w:val="20"/>
                <w:color w:val="auto"/>
              </w:rPr>
            </w:pPr>
            <w:r>
              <w:rPr>
                <w:rFonts w:ascii="Arial" w:cs="Arial" w:eastAsia="Arial" w:hAnsi="Arial"/>
                <w:sz w:val="16"/>
                <w:szCs w:val="16"/>
                <w:color w:val="auto"/>
              </w:rPr>
              <w:t>Proceeds (expenses) from the issuance of common stock</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240.4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 under credit facility and debt</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3"/>
        </w:trPr>
        <w:tc>
          <w:tcPr>
            <w:tcW w:w="7020" w:type="dxa"/>
            <w:vAlign w:val="bottom"/>
          </w:tcPr>
          <w:p>
            <w:pPr>
              <w:ind w:left="140"/>
              <w:spacing w:after="0"/>
              <w:rPr>
                <w:sz w:val="20"/>
                <w:szCs w:val="20"/>
                <w:color w:val="auto"/>
              </w:rPr>
            </w:pPr>
            <w:r>
              <w:rPr>
                <w:rFonts w:ascii="Arial" w:cs="Arial" w:eastAsia="Arial" w:hAnsi="Arial"/>
                <w:sz w:val="16"/>
                <w:szCs w:val="16"/>
                <w:color w:val="auto"/>
              </w:rPr>
              <w:t>Debt issuance costs</w:t>
            </w:r>
          </w:p>
        </w:tc>
        <w:tc>
          <w:tcPr>
            <w:tcW w:w="8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Payments under finance leases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7020" w:type="dxa"/>
            <w:vAlign w:val="bottom"/>
          </w:tcPr>
          <w:p>
            <w:pPr>
              <w:ind w:left="140"/>
              <w:spacing w:after="0" w:line="166" w:lineRule="exact"/>
              <w:rPr>
                <w:sz w:val="20"/>
                <w:szCs w:val="20"/>
                <w:color w:val="auto"/>
              </w:rPr>
            </w:pPr>
            <w:r>
              <w:rPr>
                <w:rFonts w:ascii="Arial" w:cs="Arial" w:eastAsia="Arial" w:hAnsi="Arial"/>
                <w:sz w:val="16"/>
                <w:szCs w:val="16"/>
                <w:color w:val="auto"/>
                <w:w w:val="93"/>
              </w:rPr>
              <w:t>Proceeds from exercise of restricted stock units, employee stock options, and employee stock purchase</w:t>
            </w:r>
          </w:p>
        </w:tc>
        <w:tc>
          <w:tcPr>
            <w:tcW w:w="86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9"/>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plan</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financing activities from continuing operations</w:t>
            </w:r>
          </w:p>
        </w:tc>
        <w:tc>
          <w:tcPr>
            <w:tcW w:w="8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247.7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6"/>
        </w:trPr>
        <w:tc>
          <w:tcPr>
            <w:tcW w:w="7020" w:type="dxa"/>
            <w:vAlign w:val="bottom"/>
          </w:tcPr>
          <w:p>
            <w:pPr>
              <w:ind w:left="20"/>
              <w:spacing w:after="0"/>
              <w:rPr>
                <w:sz w:val="20"/>
                <w:szCs w:val="20"/>
                <w:color w:val="auto"/>
              </w:rPr>
            </w:pPr>
            <w:r>
              <w:rPr>
                <w:rFonts w:ascii="Arial" w:cs="Arial" w:eastAsia="Arial" w:hAnsi="Arial"/>
                <w:sz w:val="16"/>
                <w:szCs w:val="16"/>
                <w:color w:val="auto"/>
              </w:rPr>
              <w:t>Net cash flows of continuing operations</w:t>
            </w: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205.1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operating cash flows of discontinued operations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208.9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1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172.6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130.9</w:t>
            </w:r>
          </w:p>
        </w:tc>
        <w:tc>
          <w:tcPr>
            <w:tcW w:w="0" w:type="dxa"/>
            <w:vAlign w:val="bottom"/>
          </w:tcPr>
          <w:p>
            <w:pPr>
              <w:spacing w:after="0"/>
              <w:rPr>
                <w:sz w:val="1"/>
                <w:szCs w:val="1"/>
                <w:color w:val="auto"/>
              </w:rPr>
            </w:pPr>
          </w:p>
        </w:tc>
      </w:tr>
      <w:tr>
        <w:trPr>
          <w:trHeight w:val="235"/>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year</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381.5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183.0</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paid during the year for interest</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3"/>
        </w:trPr>
        <w:tc>
          <w:tcPr>
            <w:tcW w:w="7020" w:type="dxa"/>
            <w:vAlign w:val="bottom"/>
          </w:tcPr>
          <w:p>
            <w:pPr>
              <w:ind w:left="180"/>
              <w:spacing w:after="0"/>
              <w:rPr>
                <w:sz w:val="20"/>
                <w:szCs w:val="20"/>
                <w:color w:val="auto"/>
              </w:rPr>
            </w:pPr>
            <w:r>
              <w:rPr>
                <w:rFonts w:ascii="Arial" w:cs="Arial" w:eastAsia="Arial" w:hAnsi="Arial"/>
                <w:sz w:val="16"/>
                <w:szCs w:val="16"/>
                <w:color w:val="auto"/>
              </w:rPr>
              <w:t>Net cash paid during the year for income taxes</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financing and investing activities: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20" w:type="dxa"/>
            <w:vAlign w:val="bottom"/>
          </w:tcPr>
          <w:p>
            <w:pPr>
              <w:ind w:left="180"/>
              <w:spacing w:after="0"/>
              <w:rPr>
                <w:sz w:val="20"/>
                <w:szCs w:val="20"/>
                <w:color w:val="auto"/>
              </w:rPr>
            </w:pPr>
            <w:r>
              <w:rPr>
                <w:rFonts w:ascii="Arial" w:cs="Arial" w:eastAsia="Arial" w:hAnsi="Arial"/>
                <w:sz w:val="16"/>
                <w:szCs w:val="16"/>
                <w:color w:val="auto"/>
              </w:rPr>
              <w:t>Capital expenditures included in accounts payable and accrued expenses</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bl>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Summary of Significant Accounting Policies</w:t>
      </w:r>
    </w:p>
    <w:p>
      <w:pPr>
        <w:spacing w:after="0" w:line="25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Description of Business</w:t>
      </w:r>
    </w:p>
    <w:p>
      <w:pPr>
        <w:spacing w:after="0" w:line="256" w:lineRule="exact"/>
        <w:rPr>
          <w:sz w:val="20"/>
          <w:szCs w:val="20"/>
          <w:color w:val="auto"/>
        </w:rPr>
      </w:pPr>
    </w:p>
    <w:p>
      <w:pPr>
        <w:jc w:val="both"/>
        <w:ind w:right="160" w:firstLine="648"/>
        <w:spacing w:after="0" w:line="276" w:lineRule="auto"/>
        <w:rPr>
          <w:sz w:val="20"/>
          <w:szCs w:val="20"/>
          <w:color w:val="auto"/>
        </w:rPr>
      </w:pPr>
      <w:r>
        <w:rPr>
          <w:rFonts w:ascii="Arial" w:cs="Arial" w:eastAsia="Arial" w:hAnsi="Arial"/>
          <w:sz w:val="16"/>
          <w:szCs w:val="16"/>
          <w:color w:val="auto"/>
        </w:rPr>
        <w:t>Kratos is a government contractor at the forefront of the U.S. Department of Defense’s (the “DoD”) recapitalization of strategic weapon systems to address peer and near peer threats and its related Rapid Innovation Initiatives. Kratos is a leading technology, intellectual property, proprietary product and system company focused on the U.S. and its allies’ national security. Kratos is a recognized industry leader in the rapid development, demonstration</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and fielding of disruptive, transformative and high technology systems and products at an affordable cost. At Kratos, affordability is a technology. Kratos’ primary focus areas are unmanned systems, space and satellite communications, microwave electronics, cybersecurity/warfare, rocket, hypersonic and missile defense systems, turbine technologies, and Command, Control, Communication, Computing, Combat, Intelligence Surveillance and Reconnaissance (C5ISR) Systems and training systems. The Company believes that its technology, intellectual property, proprietary products and designed-in positions on its customers’ programs, platforms and systems, and the ability to rapidly develop, demonstrate and field affordable leading technology systems is a competitive advantage. The Company believes that its past performance qualifications and demonstrated ability to meet or exceed its customers’ demanding requirements creates a high barrier to entry to the markets in which it operates. The Company’s work force is primarily engineering and technically oriented, highly skilled with a significant number holding national security clearances. The Company’s entire organization is focused on executing its strategy of being the leading technology and intellectual property based company in its industry.</w:t>
      </w:r>
    </w:p>
    <w:p>
      <w:pPr>
        <w:spacing w:after="0" w:line="19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 Company conducts most of its business with the U.S. Government (which includes foreign military sales) and performs work as the prime contractor, subcontractor, or preferred supplier. The Company also conducts business with local, state, and foreign governments and domestic and international commercial customers.</w:t>
      </w:r>
    </w:p>
    <w:p>
      <w:pPr>
        <w:spacing w:after="0" w:line="21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Company operates in two reportable segments. The Kratos Government Solutions (“KGS”) reportable segment is comprised of an aggregation of KGS operating segments, including its microwave electronic products, space, training and cybersecurity, C5ISR/modular systems, turbine technologies and defense and rocket support services operating segments. The Unmanned Systems (“US”) reportable segment consists of its unmanned aerial system and unmanned ground and seaborne system products. The Public Safety &amp; Security (“PSS”) reportable segment (which was divested in June 2018 and has been classified as discontinued operations - see Note 9 of these notes to the consolidated financial statements) previously provided independent integrated solutions for advanced homeland security, public safety, critical infrastructure, and security and surveillance systems for government and commercial applications.</w:t>
      </w:r>
    </w:p>
    <w:p>
      <w:pPr>
        <w:spacing w:after="0" w:line="22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organizes its operating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the Company’s operating segments, see Note 14 of these notes to consolidated financial statements.</w:t>
      </w:r>
    </w:p>
    <w:p>
      <w:pPr>
        <w:spacing w:after="0" w:line="2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Principles of Consolidation and Basis of Presentation</w:t>
      </w:r>
    </w:p>
    <w:p>
      <w:pPr>
        <w:spacing w:after="0" w:line="25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Kratos and its majority owned subsidiaries, for which all intercompany transactions have been eliminated in consolidation.</w:t>
      </w:r>
    </w:p>
    <w:p>
      <w:pPr>
        <w:spacing w:after="0" w:line="19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Fiscal Year</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Company has a 52/53 week fiscal year ending on the last Sunday of the calendar year, with interim fiscal periods ending on the last Sunday of each calendar quarter. There were 52 calendar weeks in the fiscal years ending on December 27, 2020 and December 29, 2019 and December 30, 2018.</w:t>
      </w:r>
    </w:p>
    <w:p>
      <w:pPr>
        <w:spacing w:after="0" w:line="14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Use of Estimates</w:t>
      </w:r>
    </w:p>
    <w:p>
      <w:pPr>
        <w:spacing w:after="0" w:line="25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Such estimates include revenue recognition, valuation of long-lived assets including identifiable intangibles and goodwill, accounting for income taxes including the related valuation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5" w:name="page76"/>
    <w:bookmarkEnd w:id="75"/>
    <w:p>
      <w:pPr>
        <w:ind w:right="120"/>
        <w:spacing w:after="0" w:line="259" w:lineRule="auto"/>
        <w:rPr>
          <w:sz w:val="20"/>
          <w:szCs w:val="20"/>
          <w:color w:val="auto"/>
        </w:rPr>
      </w:pPr>
      <w:r>
        <w:rPr>
          <w:rFonts w:ascii="Arial" w:cs="Arial" w:eastAsia="Arial" w:hAnsi="Arial"/>
          <w:sz w:val="18"/>
          <w:szCs w:val="18"/>
          <w:color w:val="auto"/>
        </w:rPr>
        <w:t>allowance on the deferred tax asset and uncertain tax positions, contingencies and litigation, contingent acquisition consideration, and stock-based compensation. In the future, the Company may realize actual results that differ from the current reported estimates and if the estimates that the Company has used change in the future, such changes could have a material impact on the Company’s consolidated financial position, results of operations and cash flows.</w:t>
      </w:r>
    </w:p>
    <w:p>
      <w:pPr>
        <w:spacing w:after="0" w:line="2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Revenue Recognition</w:t>
      </w:r>
    </w:p>
    <w:p>
      <w:pPr>
        <w:spacing w:after="0" w:line="256"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 xml:space="preserve">Effective January 1, 2018, the Company adopted the Financial Accounting Standards Board (“FASB”) ASU 2014-09,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with Customers, </w:t>
      </w:r>
      <w:r>
        <w:rPr>
          <w:rFonts w:ascii="Arial" w:cs="Arial" w:eastAsia="Arial" w:hAnsi="Arial"/>
          <w:sz w:val="17"/>
          <w:szCs w:val="17"/>
          <w:color w:val="auto"/>
        </w:rPr>
        <w:t>and the related amendments, which are codified into Accounting Standards Codification (“ASC”) 606 (“ASC 606”).</w:t>
      </w:r>
    </w:p>
    <w:p>
      <w:pPr>
        <w:spacing w:after="0" w:line="173"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22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under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using the best estimate of the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spacing w:after="0" w:line="191"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For the majority of contracts, the Company satisfies the underlying performance obligations over time as the customer obtains control or receives benefits as work is performed on the contract. As a result, under ASC 606 revenue is recognized over a time using the cost-to-cost method (cost incurred relative to total estimated cost at completion).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ind w:right="380" w:firstLine="648"/>
        <w:spacing w:after="0" w:line="311" w:lineRule="auto"/>
        <w:rPr>
          <w:sz w:val="20"/>
          <w:szCs w:val="20"/>
          <w:color w:val="auto"/>
        </w:rPr>
      </w:pPr>
      <w:r>
        <w:rPr>
          <w:rFonts w:ascii="Arial" w:cs="Arial" w:eastAsia="Arial" w:hAnsi="Arial"/>
          <w:sz w:val="16"/>
          <w:szCs w:val="16"/>
          <w:color w:val="auto"/>
        </w:rPr>
        <w:t>Revenues from remaining performance obligations are calculated as the dollar value of the remaining performance obligations on executed contracts. On December 27, 2020, the Company had approximately $922.2 million of remaining performance obligations. The Company expects to recognize approximately 51.0% of the remaining performance obligations as revenue in 2021, an additional 18.0% in 2022, and the balance thereafter.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5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Due to the nature of the work required to be performed on many performance obligations, the estimation of total cost at completion is complex, subject to many variables and requires significant judgment. On a quarterly basis, the Company conducts its contract cost Estimate at Completion (“EAC”) process by reviewing the progress and execution of outstanding performance obligations within its contracts.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w:t>
      </w:r>
    </w:p>
    <w:p>
      <w:pPr>
        <w:spacing w:after="0" w:line="21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certain of the Company’s long-term contracts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6" w:name="page77"/>
    <w:bookmarkEnd w:id="76"/>
    <w:p>
      <w:pPr>
        <w:spacing w:after="0" w:line="259" w:lineRule="auto"/>
        <w:rPr>
          <w:sz w:val="20"/>
          <w:szCs w:val="20"/>
          <w:color w:val="auto"/>
        </w:rPr>
      </w:pPr>
      <w:r>
        <w:rPr>
          <w:rFonts w:ascii="Arial" w:cs="Arial" w:eastAsia="Arial" w:hAnsi="Arial"/>
          <w:sz w:val="18"/>
          <w:szCs w:val="18"/>
          <w:color w:val="auto"/>
        </w:rPr>
        <w:t>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21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w:t>
      </w:r>
    </w:p>
    <w:p>
      <w:pPr>
        <w:spacing w:after="0" w:line="21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As a result of the EAC process, any quarterly adjustments to revenues,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 opportunities. Changes in estimates of net sales, cost of sales and the related impact to operating income are recognized quarterly on a cumulative catch-up basis, which recognizes in the current period the cumulative effect of the changes on current and prior periods. A significant change in one or more of these estimates could affect the profitability of one or more of the Company’s contracts. When estimates of total costs to be incurred on a performance obligation exceed total estimates of revenue to be earned, a provision for the entire loss on the performance obligation is recognized in the period the loss is determined. No cumulative catch-up adjustment on any one contract was material to the Company’s consolidated financial statements for the years ended December 27, 2020, December 29, 2019 and December 30, 2018. Likewise, total cumulative catch-up adjustments were not material for the years ended December 27, 2020, December 29, 2019 and December 30, 2018. As of December 27, 2020 and December 29, 2019, accrued expenses included the accrual for losses on contracts of $3.6 million and $3.1 million, respectively.</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21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 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 Company’s contracts that give rise to contract assets are not considered to include a significant financing component as the payment terms are intended to protect the customer in the event the Company does not perform on its obligations under the contract.</w:t>
      </w:r>
    </w:p>
    <w:p>
      <w:pPr>
        <w:spacing w:after="0" w:line="193"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The Company’s contracts that give rise to contract liabilities do not include a significant financing component as the underlying advance payments received are generally utilized to pay for contract costs within a one-year period or are used to ensure the customer meets contractual requirements.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7" w:name="page78"/>
    <w:bookmarkEnd w:id="77"/>
    <w:p>
      <w:pPr>
        <w:ind w:left="660"/>
        <w:spacing w:after="0"/>
        <w:rPr>
          <w:sz w:val="20"/>
          <w:szCs w:val="20"/>
          <w:color w:val="auto"/>
        </w:rPr>
      </w:pPr>
      <w:r>
        <w:rPr>
          <w:rFonts w:ascii="Arial" w:cs="Arial" w:eastAsia="Arial" w:hAnsi="Arial"/>
          <w:sz w:val="18"/>
          <w:szCs w:val="18"/>
          <w:color w:val="auto"/>
        </w:rPr>
        <w:t>Net contract assets and liabilities are as follows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27, 2020</w:t>
            </w:r>
          </w:p>
        </w:tc>
        <w:tc>
          <w:tcPr>
            <w:tcW w:w="16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29, 2019</w:t>
            </w:r>
          </w:p>
        </w:tc>
        <w:tc>
          <w:tcPr>
            <w:tcW w:w="200" w:type="dxa"/>
            <w:vAlign w:val="bottom"/>
          </w:tcPr>
          <w:p>
            <w:pPr>
              <w:spacing w:after="0"/>
              <w:rPr>
                <w:sz w:val="18"/>
                <w:szCs w:val="18"/>
                <w:color w:val="auto"/>
              </w:rPr>
            </w:pPr>
          </w:p>
        </w:tc>
        <w:tc>
          <w:tcPr>
            <w:tcW w:w="1200" w:type="dxa"/>
            <w:vAlign w:val="bottom"/>
          </w:tcPr>
          <w:p>
            <w:pPr>
              <w:jc w:val="right"/>
              <w:ind w:right="212"/>
              <w:spacing w:after="0"/>
              <w:rPr>
                <w:sz w:val="20"/>
                <w:szCs w:val="20"/>
                <w:color w:val="auto"/>
              </w:rPr>
            </w:pPr>
            <w:r>
              <w:rPr>
                <w:rFonts w:ascii="Arial" w:cs="Arial" w:eastAsia="Arial" w:hAnsi="Arial"/>
                <w:sz w:val="16"/>
                <w:szCs w:val="16"/>
                <w:b w:val="1"/>
                <w:bCs w:val="1"/>
                <w:color w:val="auto"/>
                <w:w w:val="98"/>
              </w:rPr>
              <w:t>Net Change</w:t>
            </w:r>
          </w:p>
        </w:tc>
      </w:tr>
      <w:tr>
        <w:trPr>
          <w:trHeight w:val="226"/>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4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contract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change in the balances of the Company’s contract assets and liabilities primarily results from timing differences between revenue recognition and customer billings and/or payments. Contract assets decreased $2.4 million during the year ended December 27, 2020, primarily due to an increase in advance payments and amounts in excess of costs incurred as well as lower unbilled receivables, net, during the year ended December 27, 2020. There were no significant impairment losses related to any receivables or contract assets arising from the Company’s contracts with customers during the year ended December 27, 2020. Contract liabilities decreased $0.3 million during the year ended December 27, 2020, primarily due to revenue recognized in excess of payments received on these performance obligations. For the years ended December 27, 2020 and December 29, 2019, the Company recognized revenue of $26.2 million and $30.5 million, respectively, that was previously included in the beginning balance of contract liabilities.</w:t>
      </w:r>
    </w:p>
    <w:p>
      <w:pPr>
        <w:spacing w:after="0" w:line="193" w:lineRule="exact"/>
        <w:rPr>
          <w:sz w:val="20"/>
          <w:szCs w:val="20"/>
          <w:color w:val="auto"/>
        </w:rPr>
      </w:pPr>
    </w:p>
    <w:p>
      <w:pPr>
        <w:ind w:right="120" w:firstLine="648"/>
        <w:spacing w:after="0" w:line="268" w:lineRule="auto"/>
        <w:rPr>
          <w:sz w:val="20"/>
          <w:szCs w:val="20"/>
          <w:color w:val="auto"/>
        </w:rPr>
      </w:pPr>
      <w:r>
        <w:rPr>
          <w:rFonts w:ascii="Arial" w:cs="Arial" w:eastAsia="Arial" w:hAnsi="Arial"/>
          <w:sz w:val="16"/>
          <w:szCs w:val="16"/>
          <w:color w:val="auto"/>
        </w:rPr>
        <w:t>In November 2019, a large training solutions program was terminated for convenience (“T for C”) by the customer. Under a T for C, a contractor is entitled to seek specified costs through a termination settlement process including (1) the contract price for completed supplies and services accepted by the government but not previously paid for; (2) the cost incurred in the performance of work terminated plus a reasonable profit on those costs; and (3) its costs incurred in settling with subcontractors and preparing and settling the termination proposal. Under a T for C, the Company would not be able to collect the total withheld amounts until the settlement terms of the T for C have been negotiated and agreed to with the customer. At December 27, 2020, approximately $11.5 million in unbilled receivables is outstanding on this project. In addition, the Company is currently in dispute with an international customer in the US segment over approximately $10.0 million in unbilled receivables outstanding as of December 27, 2020. The dispute concerns the completion of system requirements and contractual milestones. The Company alleges breach of contract, as well as other claims against the customer, and</w:t>
      </w:r>
    </w:p>
    <w:p>
      <w:pPr>
        <w:spacing w:after="0" w:line="4" w:lineRule="exact"/>
        <w:rPr>
          <w:sz w:val="20"/>
          <w:szCs w:val="20"/>
          <w:color w:val="auto"/>
        </w:rPr>
      </w:pPr>
    </w:p>
    <w:p>
      <w:pPr>
        <w:spacing w:after="0" w:line="330" w:lineRule="auto"/>
        <w:rPr>
          <w:sz w:val="20"/>
          <w:szCs w:val="20"/>
          <w:color w:val="auto"/>
        </w:rPr>
      </w:pPr>
      <w:r>
        <w:rPr>
          <w:rFonts w:ascii="Arial" w:cs="Arial" w:eastAsia="Arial" w:hAnsi="Arial"/>
          <w:sz w:val="15"/>
          <w:szCs w:val="15"/>
          <w:color w:val="auto"/>
        </w:rPr>
        <w:t>seeks damages and other equitable relief. The customer has asserted counterclaims seeking liquidated damages and additional relief. Management has evaluated the present facts of the matters and performed a reassessment of the contractual amounts due, as well as the claims asserted by each of the parties, and have determined that no adjustment to previously recognized revenue, or the corresponding unbilled receivables, is necessary at December 27, 2020.</w:t>
      </w:r>
    </w:p>
    <w:p>
      <w:pPr>
        <w:spacing w:after="0" w:line="1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ind w:right="140" w:firstLine="177"/>
        <w:spacing w:after="0" w:line="277" w:lineRule="auto"/>
        <w:rPr>
          <w:sz w:val="20"/>
          <w:szCs w:val="20"/>
          <w:color w:val="auto"/>
        </w:rPr>
      </w:pPr>
      <w:r>
        <w:rPr>
          <w:rFonts w:ascii="Arial" w:cs="Arial" w:eastAsia="Arial" w:hAnsi="Arial"/>
          <w:sz w:val="18"/>
          <w:szCs w:val="18"/>
          <w:color w:val="auto"/>
        </w:rPr>
        <w:t>The following series of tables presents the Company’s revenue disaggregated by several categories. For the majority of contracts, revenue is recognized over time as work is performed on the contract. Revenue by contract type was as follows (in millions):</w:t>
      </w:r>
    </w:p>
    <w:p>
      <w:pPr>
        <w:spacing w:after="0" w:line="71" w:lineRule="exact"/>
        <w:rPr>
          <w:sz w:val="20"/>
          <w:szCs w:val="20"/>
          <w:color w:val="auto"/>
        </w:rPr>
      </w:pPr>
    </w:p>
    <w:p>
      <w:pPr>
        <w:ind w:left="8800"/>
        <w:spacing w:after="0"/>
        <w:tabs>
          <w:tab w:leader="none" w:pos="10160" w:val="left"/>
        </w:tabs>
        <w:rPr>
          <w:sz w:val="20"/>
          <w:szCs w:val="20"/>
          <w:color w:val="auto"/>
        </w:rPr>
      </w:pPr>
      <w:r>
        <w:rPr>
          <w:rFonts w:ascii="Arial" w:cs="Arial" w:eastAsia="Arial" w:hAnsi="Arial"/>
          <w:sz w:val="14"/>
          <w:szCs w:val="14"/>
          <w:b w:val="1"/>
          <w:bCs w:val="1"/>
          <w:color w:val="auto"/>
        </w:rPr>
        <w:t>Year Ended</w:t>
      </w:r>
      <w:r>
        <w:rPr>
          <w:sz w:val="20"/>
          <w:szCs w:val="20"/>
          <w:color w:val="auto"/>
        </w:rPr>
        <w:tab/>
      </w:r>
      <w:r>
        <w:rPr>
          <w:rFonts w:ascii="Arial" w:cs="Arial" w:eastAsia="Arial" w:hAnsi="Arial"/>
          <w:sz w:val="13"/>
          <w:szCs w:val="13"/>
          <w:b w:val="1"/>
          <w:bCs w:val="1"/>
          <w:color w:val="auto"/>
        </w:rPr>
        <w:t>Year Ended</w:t>
      </w:r>
    </w:p>
    <w:p>
      <w:pPr>
        <w:ind w:left="8580"/>
        <w:spacing w:after="0"/>
        <w:tabs>
          <w:tab w:leader="none" w:pos="9960" w:val="left"/>
        </w:tabs>
        <w:rPr>
          <w:sz w:val="20"/>
          <w:szCs w:val="20"/>
          <w:color w:val="auto"/>
        </w:rPr>
      </w:pPr>
      <w:r>
        <w:rPr>
          <w:rFonts w:ascii="Arial" w:cs="Arial" w:eastAsia="Arial" w:hAnsi="Arial"/>
          <w:sz w:val="14"/>
          <w:szCs w:val="14"/>
          <w:b w:val="1"/>
          <w:bCs w:val="1"/>
          <w:color w:val="auto"/>
        </w:rPr>
        <w:t>December 27, 2020</w:t>
      </w:r>
      <w:r>
        <w:rPr>
          <w:sz w:val="20"/>
          <w:szCs w:val="20"/>
          <w:color w:val="auto"/>
        </w:rPr>
        <w:tab/>
      </w:r>
      <w:r>
        <w:rPr>
          <w:rFonts w:ascii="Arial" w:cs="Arial" w:eastAsia="Arial" w:hAnsi="Arial"/>
          <w:sz w:val="12"/>
          <w:szCs w:val="12"/>
          <w:b w:val="1"/>
          <w:bCs w:val="1"/>
          <w:color w:val="auto"/>
        </w:rPr>
        <w:t>December 29, 2019</w:t>
      </w:r>
    </w:p>
    <w:p>
      <w:pPr>
        <w:sectPr>
          <w:pgSz w:w="11900" w:h="16838" w:orient="portrait"/>
          <w:cols w:equalWidth="0" w:num="1">
            <w:col w:w="11240"/>
          </w:cols>
          <w:pgMar w:left="320" w:top="895" w:right="339" w:bottom="1440" w:gutter="0" w:footer="0" w:header="0"/>
        </w:sectPr>
      </w:pP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Kratos Government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06285"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8"/>
          <w:szCs w:val="18"/>
          <w:color w:val="auto"/>
        </w:rPr>
        <w:t>Fixed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Cost plus fee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Time and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5">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Total Kratos Government Solutions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Unmanned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5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8"/>
          <w:szCs w:val="18"/>
          <w:color w:val="auto"/>
        </w:rPr>
        <w:t>Fixed price</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Cost plus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Time and materials</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 Unmanned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Revenues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tabs>
          <w:tab w:leader="none" w:pos="760" w:val="left"/>
          <w:tab w:leader="none" w:pos="1360" w:val="left"/>
          <w:tab w:leader="none" w:pos="2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437.6</w:t>
        <w:tab/>
        <w:t>$</w:t>
      </w:r>
      <w:r>
        <w:rPr>
          <w:sz w:val="20"/>
          <w:szCs w:val="20"/>
          <w:color w:val="auto"/>
        </w:rPr>
        <w:tab/>
      </w:r>
      <w:r>
        <w:rPr>
          <w:rFonts w:ascii="Arial" w:cs="Arial" w:eastAsia="Arial" w:hAnsi="Arial"/>
          <w:sz w:val="15"/>
          <w:szCs w:val="15"/>
          <w:color w:val="auto"/>
        </w:rPr>
        <w:t>469.4</w:t>
      </w:r>
    </w:p>
    <w:p>
      <w:pPr>
        <w:spacing w:after="0" w:line="23" w:lineRule="exact"/>
        <w:rPr>
          <w:sz w:val="20"/>
          <w:szCs w:val="20"/>
          <w:color w:val="auto"/>
        </w:rPr>
      </w:pPr>
    </w:p>
    <w:p>
      <w:pPr>
        <w:jc w:val="right"/>
        <w:ind w:right="120"/>
        <w:spacing w:after="0"/>
        <w:tabs>
          <w:tab w:leader="none" w:pos="280" w:val="left"/>
        </w:tabs>
        <w:rPr>
          <w:sz w:val="20"/>
          <w:szCs w:val="20"/>
          <w:color w:val="auto"/>
        </w:rPr>
      </w:pPr>
      <w:r>
        <w:rPr>
          <w:rFonts w:ascii="Arial" w:cs="Arial" w:eastAsia="Arial" w:hAnsi="Arial"/>
          <w:sz w:val="18"/>
          <w:szCs w:val="18"/>
          <w:color w:val="auto"/>
        </w:rPr>
        <w:t>89.1</w:t>
      </w:r>
      <w:r>
        <w:rPr>
          <w:sz w:val="20"/>
          <w:szCs w:val="20"/>
          <w:color w:val="auto"/>
        </w:rPr>
        <w:tab/>
      </w:r>
      <w:r>
        <w:rPr>
          <w:rFonts w:ascii="Arial" w:cs="Arial" w:eastAsia="Arial" w:hAnsi="Arial"/>
          <w:sz w:val="15"/>
          <w:szCs w:val="15"/>
          <w:color w:val="auto"/>
        </w:rPr>
        <w:t>54.3</w:t>
      </w:r>
    </w:p>
    <w:p>
      <w:pPr>
        <w:spacing w:after="0" w:line="23" w:lineRule="exact"/>
        <w:rPr>
          <w:sz w:val="20"/>
          <w:szCs w:val="20"/>
          <w:color w:val="auto"/>
        </w:rPr>
      </w:pPr>
    </w:p>
    <w:p>
      <w:pPr>
        <w:jc w:val="right"/>
        <w:ind w:right="120"/>
        <w:spacing w:after="0"/>
        <w:tabs>
          <w:tab w:leader="none" w:pos="280" w:val="left"/>
        </w:tabs>
        <w:rPr>
          <w:sz w:val="20"/>
          <w:szCs w:val="20"/>
          <w:color w:val="auto"/>
        </w:rPr>
      </w:pPr>
      <w:r>
        <w:rPr>
          <w:rFonts w:ascii="Arial" w:cs="Arial" w:eastAsia="Arial" w:hAnsi="Arial"/>
          <w:sz w:val="18"/>
          <w:szCs w:val="18"/>
          <w:color w:val="auto"/>
        </w:rPr>
        <w:t>34.0</w:t>
      </w:r>
      <w:r>
        <w:rPr>
          <w:sz w:val="20"/>
          <w:szCs w:val="20"/>
          <w:color w:val="auto"/>
        </w:rPr>
        <w:tab/>
      </w:r>
      <w:r>
        <w:rPr>
          <w:rFonts w:ascii="Arial" w:cs="Arial" w:eastAsia="Arial" w:hAnsi="Arial"/>
          <w:sz w:val="15"/>
          <w:szCs w:val="15"/>
          <w:color w:val="auto"/>
        </w:rPr>
        <w:t>32.4</w:t>
      </w:r>
    </w:p>
    <w:p>
      <w:pPr>
        <w:spacing w:after="0" w:line="35" w:lineRule="exact"/>
        <w:rPr>
          <w:sz w:val="20"/>
          <w:szCs w:val="20"/>
          <w:color w:val="auto"/>
        </w:rPr>
      </w:pPr>
    </w:p>
    <w:p>
      <w:pPr>
        <w:jc w:val="right"/>
        <w:ind w:right="120"/>
        <w:spacing w:after="0"/>
        <w:tabs>
          <w:tab w:leader="none" w:pos="380" w:val="left"/>
        </w:tabs>
        <w:rPr>
          <w:sz w:val="20"/>
          <w:szCs w:val="20"/>
          <w:color w:val="auto"/>
        </w:rPr>
      </w:pPr>
      <w:r>
        <w:rPr>
          <w:rFonts w:ascii="Arial" w:cs="Arial" w:eastAsia="Arial" w:hAnsi="Arial"/>
          <w:sz w:val="18"/>
          <w:szCs w:val="18"/>
          <w:color w:val="auto"/>
        </w:rPr>
        <w:t>560.7</w:t>
      </w:r>
      <w:r>
        <w:rPr>
          <w:sz w:val="20"/>
          <w:szCs w:val="20"/>
          <w:color w:val="auto"/>
        </w:rPr>
        <w:tab/>
      </w:r>
      <w:r>
        <w:rPr>
          <w:rFonts w:ascii="Arial" w:cs="Arial" w:eastAsia="Arial" w:hAnsi="Arial"/>
          <w:sz w:val="15"/>
          <w:szCs w:val="15"/>
          <w:color w:val="auto"/>
        </w:rPr>
        <w:t>556.1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16973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9">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32" w:lineRule="exact"/>
        <w:rPr>
          <w:sz w:val="20"/>
          <w:szCs w:val="20"/>
          <w:color w:val="auto"/>
        </w:rPr>
      </w:pPr>
    </w:p>
    <w:p>
      <w:pPr>
        <w:jc w:val="right"/>
        <w:ind w:right="120"/>
        <w:spacing w:after="0"/>
        <w:tabs>
          <w:tab w:leader="none" w:pos="380" w:val="left"/>
        </w:tabs>
        <w:rPr>
          <w:sz w:val="20"/>
          <w:szCs w:val="20"/>
          <w:color w:val="auto"/>
        </w:rPr>
      </w:pPr>
      <w:r>
        <w:rPr>
          <w:rFonts w:ascii="Arial" w:cs="Arial" w:eastAsia="Arial" w:hAnsi="Arial"/>
          <w:sz w:val="18"/>
          <w:szCs w:val="18"/>
          <w:color w:val="auto"/>
        </w:rPr>
        <w:t>126.9</w:t>
      </w:r>
      <w:r>
        <w:rPr>
          <w:sz w:val="20"/>
          <w:szCs w:val="20"/>
          <w:color w:val="auto"/>
        </w:rPr>
        <w:tab/>
      </w:r>
      <w:r>
        <w:rPr>
          <w:rFonts w:ascii="Arial" w:cs="Arial" w:eastAsia="Arial" w:hAnsi="Arial"/>
          <w:sz w:val="15"/>
          <w:szCs w:val="15"/>
          <w:color w:val="auto"/>
        </w:rPr>
        <w:t>126.2</w:t>
      </w:r>
    </w:p>
    <w:p>
      <w:pPr>
        <w:spacing w:after="0" w:line="23" w:lineRule="exact"/>
        <w:rPr>
          <w:sz w:val="20"/>
          <w:szCs w:val="20"/>
          <w:color w:val="auto"/>
        </w:rPr>
      </w:pPr>
    </w:p>
    <w:p>
      <w:pPr>
        <w:jc w:val="right"/>
        <w:ind w:right="120"/>
        <w:spacing w:after="0"/>
        <w:tabs>
          <w:tab w:leader="none" w:pos="280" w:val="left"/>
        </w:tabs>
        <w:rPr>
          <w:sz w:val="20"/>
          <w:szCs w:val="20"/>
          <w:color w:val="auto"/>
        </w:rPr>
      </w:pPr>
      <w:r>
        <w:rPr>
          <w:rFonts w:ascii="Arial" w:cs="Arial" w:eastAsia="Arial" w:hAnsi="Arial"/>
          <w:sz w:val="18"/>
          <w:szCs w:val="18"/>
          <w:color w:val="auto"/>
        </w:rPr>
        <w:t>57.1</w:t>
      </w:r>
      <w:r>
        <w:rPr>
          <w:sz w:val="20"/>
          <w:szCs w:val="20"/>
          <w:color w:val="auto"/>
        </w:rPr>
        <w:tab/>
      </w:r>
      <w:r>
        <w:rPr>
          <w:rFonts w:ascii="Arial" w:cs="Arial" w:eastAsia="Arial" w:hAnsi="Arial"/>
          <w:sz w:val="15"/>
          <w:szCs w:val="15"/>
          <w:color w:val="auto"/>
        </w:rPr>
        <w:t>33.8</w:t>
      </w:r>
    </w:p>
    <w:p>
      <w:pPr>
        <w:spacing w:after="0" w:line="23" w:lineRule="exact"/>
        <w:rPr>
          <w:sz w:val="20"/>
          <w:szCs w:val="20"/>
          <w:color w:val="auto"/>
        </w:rPr>
      </w:pPr>
    </w:p>
    <w:p>
      <w:pPr>
        <w:jc w:val="right"/>
        <w:ind w:right="120"/>
        <w:spacing w:after="0"/>
        <w:tabs>
          <w:tab w:leader="none" w:pos="200" w:val="left"/>
        </w:tabs>
        <w:rPr>
          <w:sz w:val="20"/>
          <w:szCs w:val="20"/>
          <w:color w:val="auto"/>
        </w:rPr>
      </w:pPr>
      <w:r>
        <w:rPr>
          <w:rFonts w:ascii="Arial" w:cs="Arial" w:eastAsia="Arial" w:hAnsi="Arial"/>
          <w:sz w:val="18"/>
          <w:szCs w:val="18"/>
          <w:color w:val="auto"/>
        </w:rPr>
        <w:t>3.0</w:t>
      </w:r>
      <w:r>
        <w:rPr>
          <w:sz w:val="20"/>
          <w:szCs w:val="20"/>
          <w:color w:val="auto"/>
        </w:rPr>
        <w:tab/>
      </w: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16973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5" w:lineRule="exact"/>
        <w:rPr>
          <w:sz w:val="20"/>
          <w:szCs w:val="20"/>
          <w:color w:val="auto"/>
        </w:rPr>
      </w:pPr>
    </w:p>
    <w:p>
      <w:pPr>
        <w:jc w:val="right"/>
        <w:ind w:right="120"/>
        <w:spacing w:after="0"/>
        <w:tabs>
          <w:tab w:leader="none" w:pos="380" w:val="left"/>
        </w:tabs>
        <w:rPr>
          <w:sz w:val="20"/>
          <w:szCs w:val="20"/>
          <w:color w:val="auto"/>
        </w:rPr>
      </w:pPr>
      <w:r>
        <w:rPr>
          <w:rFonts w:ascii="Arial" w:cs="Arial" w:eastAsia="Arial" w:hAnsi="Arial"/>
          <w:sz w:val="18"/>
          <w:szCs w:val="18"/>
          <w:color w:val="auto"/>
        </w:rPr>
        <w:t>187.0</w:t>
      </w:r>
      <w:r>
        <w:rPr>
          <w:sz w:val="20"/>
          <w:szCs w:val="20"/>
          <w:color w:val="auto"/>
        </w:rPr>
        <w:tab/>
      </w:r>
      <w:r>
        <w:rPr>
          <w:rFonts w:ascii="Arial" w:cs="Arial" w:eastAsia="Arial" w:hAnsi="Arial"/>
          <w:sz w:val="15"/>
          <w:szCs w:val="15"/>
          <w:color w:val="auto"/>
        </w:rPr>
        <w:t>161.4</w:t>
      </w:r>
    </w:p>
    <w:p>
      <w:pPr>
        <w:spacing w:after="0" w:line="36" w:lineRule="exact"/>
        <w:rPr>
          <w:sz w:val="20"/>
          <w:szCs w:val="20"/>
          <w:color w:val="auto"/>
        </w:rPr>
      </w:pPr>
    </w:p>
    <w:p>
      <w:pPr>
        <w:spacing w:after="0"/>
        <w:tabs>
          <w:tab w:leader="none" w:pos="760" w:val="left"/>
          <w:tab w:leader="none" w:pos="1360" w:val="left"/>
          <w:tab w:leader="none" w:pos="2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747.7</w:t>
        <w:tab/>
        <w:t>$</w:t>
      </w:r>
      <w:r>
        <w:rPr>
          <w:sz w:val="20"/>
          <w:szCs w:val="20"/>
          <w:color w:val="auto"/>
        </w:rPr>
        <w:tab/>
      </w:r>
      <w:r>
        <w:rPr>
          <w:rFonts w:ascii="Arial" w:cs="Arial" w:eastAsia="Arial" w:hAnsi="Arial"/>
          <w:sz w:val="15"/>
          <w:szCs w:val="15"/>
          <w:color w:val="auto"/>
        </w:rPr>
        <w:t>717.5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40640</wp:posOffset>
            </wp:positionV>
            <wp:extent cx="16973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1">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7820" w:space="720"/>
            <w:col w:w="2700"/>
          </w:cols>
          <w:pgMar w:left="320" w:top="8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color w:val="auto"/>
        </w:rPr>
        <w:t>Revenue by customer was as follows (in millions):</w:t>
      </w:r>
    </w:p>
    <w:p>
      <w:pPr>
        <w:spacing w:after="0" w:line="153" w:lineRule="exact"/>
        <w:rPr>
          <w:sz w:val="20"/>
          <w:szCs w:val="20"/>
          <w:color w:val="auto"/>
        </w:rPr>
      </w:pPr>
    </w:p>
    <w:p>
      <w:pPr>
        <w:ind w:left="8720"/>
        <w:spacing w:after="0"/>
        <w:tabs>
          <w:tab w:leader="none" w:pos="10140" w:val="left"/>
        </w:tabs>
        <w:rPr>
          <w:sz w:val="20"/>
          <w:szCs w:val="20"/>
          <w:color w:val="auto"/>
        </w:rPr>
      </w:pPr>
      <w:r>
        <w:rPr>
          <w:rFonts w:ascii="Arial" w:cs="Arial" w:eastAsia="Arial" w:hAnsi="Arial"/>
          <w:sz w:val="14"/>
          <w:szCs w:val="14"/>
          <w:b w:val="1"/>
          <w:bCs w:val="1"/>
          <w:color w:val="auto"/>
        </w:rPr>
        <w:t>Year Ended</w:t>
      </w:r>
      <w:r>
        <w:rPr>
          <w:sz w:val="20"/>
          <w:szCs w:val="20"/>
          <w:color w:val="auto"/>
        </w:rPr>
        <w:tab/>
      </w:r>
      <w:r>
        <w:rPr>
          <w:rFonts w:ascii="Arial" w:cs="Arial" w:eastAsia="Arial" w:hAnsi="Arial"/>
          <w:sz w:val="13"/>
          <w:szCs w:val="13"/>
          <w:b w:val="1"/>
          <w:bCs w:val="1"/>
          <w:color w:val="auto"/>
        </w:rPr>
        <w:t>Year Ended</w:t>
      </w:r>
    </w:p>
    <w:p>
      <w:pPr>
        <w:jc w:val="right"/>
        <w:ind w:right="100"/>
        <w:spacing w:after="0"/>
        <w:tabs>
          <w:tab w:leader="none" w:pos="1140" w:val="left"/>
        </w:tabs>
        <w:rPr>
          <w:sz w:val="20"/>
          <w:szCs w:val="20"/>
          <w:color w:val="auto"/>
        </w:rPr>
      </w:pPr>
      <w:r>
        <w:rPr>
          <w:rFonts w:ascii="Arial" w:cs="Arial" w:eastAsia="Arial" w:hAnsi="Arial"/>
          <w:sz w:val="14"/>
          <w:szCs w:val="14"/>
          <w:b w:val="1"/>
          <w:bCs w:val="1"/>
          <w:color w:val="auto"/>
        </w:rPr>
        <w:t>December 27, 2020</w:t>
      </w:r>
      <w:r>
        <w:rPr>
          <w:sz w:val="20"/>
          <w:szCs w:val="20"/>
          <w:color w:val="auto"/>
        </w:rPr>
        <w:tab/>
      </w:r>
      <w:r>
        <w:rPr>
          <w:rFonts w:ascii="Arial" w:cs="Arial" w:eastAsia="Arial" w:hAnsi="Arial"/>
          <w:sz w:val="12"/>
          <w:szCs w:val="12"/>
          <w:b w:val="1"/>
          <w:bCs w:val="1"/>
          <w:color w:val="auto"/>
        </w:rPr>
        <w:t>December 29, 2019</w:t>
      </w:r>
    </w:p>
    <w:p>
      <w:pPr>
        <w:sectPr>
          <w:pgSz w:w="11900" w:h="16838" w:orient="portrait"/>
          <w:cols w:equalWidth="0" w:num="1">
            <w:col w:w="11220"/>
          </w:cols>
          <w:pgMar w:left="320" w:top="895" w:right="359" w:bottom="1440" w:gutter="0" w:footer="0" w:header="0"/>
        </w:sectPr>
      </w:pP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Kratos Government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06285"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8"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U.S. Government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06285"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4">
                      <a:extLst>
                        <a:ext uri="{28A0092B-C50C-407E-A947-70E740481C1C}"/>
                      </a:extLst>
                    </a:blip>
                    <a:srcRect/>
                    <a:stretch>
                      <a:fillRect/>
                    </a:stretch>
                  </pic:blipFill>
                  <pic:spPr bwMode="auto">
                    <a:xfrm>
                      <a:off x="0" y="0"/>
                      <a:ext cx="7106285" cy="188595"/>
                    </a:xfrm>
                    <a:prstGeom prst="rect">
                      <a:avLst/>
                    </a:prstGeom>
                    <a:noFill/>
                  </pic:spPr>
                </pic:pic>
              </a:graphicData>
            </a:graphic>
          </wp:anchor>
        </w:drawing>
      </w:r>
    </w:p>
    <w:p>
      <w:pPr>
        <w:spacing w:after="0" w:line="20"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6"/>
          <w:szCs w:val="16"/>
          <w:color w:val="auto"/>
        </w:rPr>
        <w:t>U.S. Commercial and other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06285"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Total Kratos Government Solutions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Unmanned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7106285" cy="188595"/>
                    </a:xfrm>
                    <a:prstGeom prst="rect">
                      <a:avLst/>
                    </a:prstGeom>
                    <a:noFill/>
                  </pic:spPr>
                </pic:pic>
              </a:graphicData>
            </a:graphic>
          </wp:anchor>
        </w:drawing>
      </w:r>
    </w:p>
    <w:p>
      <w:pPr>
        <w:spacing w:after="0" w:line="37"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U.S. Government </w:t>
      </w:r>
      <w:r>
        <w:rPr>
          <w:rFonts w:ascii="Arial" w:cs="Arial" w:eastAsia="Arial" w:hAnsi="Arial"/>
          <w:sz w:val="23"/>
          <w:szCs w:val="23"/>
          <w:color w:val="auto"/>
          <w:vertAlign w:val="superscript"/>
        </w:rPr>
        <w:t>(1)</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06285"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color w:val="auto"/>
        </w:rPr>
        <w:t>U.S. Commercial and other customers</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 Unmanned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Revenues</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375.9</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368.6</w:t>
            </w:r>
          </w:p>
        </w:tc>
      </w:tr>
      <w:tr>
        <w:trPr>
          <w:trHeight w:val="296"/>
        </w:trPr>
        <w:tc>
          <w:tcPr>
            <w:tcW w:w="4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123.8</w:t>
            </w:r>
          </w:p>
        </w:tc>
        <w:tc>
          <w:tcPr>
            <w:tcW w:w="5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111.4</w:t>
            </w:r>
          </w:p>
        </w:tc>
      </w:tr>
      <w:tr>
        <w:trPr>
          <w:trHeight w:val="230"/>
        </w:trPr>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61.0</w:t>
            </w: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r>
      <w:tr>
        <w:trPr>
          <w:trHeight w:val="223"/>
        </w:trPr>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560.7</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556.1</w:t>
            </w:r>
          </w:p>
        </w:tc>
      </w:tr>
      <w:tr>
        <w:trPr>
          <w:trHeight w:val="507"/>
        </w:trPr>
        <w:tc>
          <w:tcPr>
            <w:tcW w:w="4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170.5</w:t>
            </w:r>
          </w:p>
        </w:tc>
        <w:tc>
          <w:tcPr>
            <w:tcW w:w="5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138.8</w:t>
            </w:r>
          </w:p>
        </w:tc>
      </w:tr>
      <w:tr>
        <w:trPr>
          <w:trHeight w:val="296"/>
        </w:trPr>
        <w:tc>
          <w:tcPr>
            <w:tcW w:w="4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5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30"/>
        </w:trPr>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187.0</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w:t>
            </w:r>
          </w:p>
        </w:tc>
      </w:tr>
      <w:tr>
        <w:trPr>
          <w:trHeight w:val="223"/>
        </w:trPr>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747.7</w:t>
            </w:r>
          </w:p>
        </w:tc>
        <w:tc>
          <w:tcPr>
            <w:tcW w:w="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717.5</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00" w:space="720"/>
            <w:col w:w="2800"/>
          </w:cols>
          <w:pgMar w:left="320" w:top="895" w:right="359" w:bottom="1440" w:gutter="0" w:footer="0" w:header="0"/>
          <w:type w:val="continuous"/>
        </w:sectPr>
      </w:pPr>
    </w:p>
    <w:p>
      <w:pPr>
        <w:spacing w:after="0" w:line="249" w:lineRule="exact"/>
        <w:rPr>
          <w:sz w:val="20"/>
          <w:szCs w:val="20"/>
          <w:color w:val="auto"/>
        </w:rPr>
      </w:pPr>
    </w:p>
    <w:p>
      <w:pPr>
        <w:jc w:val="both"/>
        <w:ind w:right="40" w:firstLine="8"/>
        <w:spacing w:after="0" w:line="259" w:lineRule="auto"/>
        <w:tabs>
          <w:tab w:leader="none" w:pos="177" w:val="left"/>
        </w:tabs>
        <w:numPr>
          <w:ilvl w:val="0"/>
          <w:numId w:val="35"/>
        </w:numPr>
        <w:rPr>
          <w:rFonts w:ascii="Arial" w:cs="Arial" w:eastAsia="Arial" w:hAnsi="Arial"/>
          <w:sz w:val="20"/>
          <w:szCs w:val="20"/>
          <w:color w:val="auto"/>
          <w:vertAlign w:val="superscript"/>
        </w:rPr>
      </w:pPr>
      <w:r>
        <w:rPr>
          <w:rFonts w:ascii="Arial" w:cs="Arial" w:eastAsia="Arial" w:hAnsi="Arial"/>
          <w:sz w:val="14"/>
          <w:szCs w:val="14"/>
          <w:color w:val="auto"/>
        </w:rPr>
        <w:t>Sales to the U.S. Government include sales from contracts for which the Company is the prime contractor, as well as those for which the Company is a subcontractor and the ultimate customer is the U.S. Government. Each of the Company’s segments derives substantial revenue from the U.S. Government. These sales include foreign military sales contracted through the U.S. Government.</w:t>
      </w:r>
    </w:p>
    <w:p>
      <w:pPr>
        <w:spacing w:after="0" w:line="214" w:lineRule="exact"/>
        <w:rPr>
          <w:rFonts w:ascii="Arial" w:cs="Arial" w:eastAsia="Arial" w:hAnsi="Arial"/>
          <w:sz w:val="20"/>
          <w:szCs w:val="20"/>
          <w:color w:val="auto"/>
          <w:vertAlign w:val="superscript"/>
        </w:rPr>
      </w:pPr>
    </w:p>
    <w:p>
      <w:pPr>
        <w:ind w:firstLine="8"/>
        <w:spacing w:after="0" w:line="283" w:lineRule="auto"/>
        <w:tabs>
          <w:tab w:leader="none" w:pos="168" w:val="left"/>
        </w:tabs>
        <w:numPr>
          <w:ilvl w:val="0"/>
          <w:numId w:val="35"/>
        </w:numPr>
        <w:rPr>
          <w:rFonts w:ascii="Arial" w:cs="Arial" w:eastAsia="Arial" w:hAnsi="Arial"/>
          <w:sz w:val="19"/>
          <w:szCs w:val="19"/>
          <w:color w:val="auto"/>
          <w:vertAlign w:val="superscript"/>
        </w:rPr>
      </w:pPr>
      <w:r>
        <w:rPr>
          <w:rFonts w:ascii="Arial" w:cs="Arial" w:eastAsia="Arial" w:hAnsi="Arial"/>
          <w:sz w:val="13"/>
          <w:szCs w:val="13"/>
          <w:color w:val="auto"/>
        </w:rPr>
        <w:t>International sales include sales from contracts for which the Company is the prime contractor, as well as those for which the Company is a subcontractor and the ultimate customer is an international customer. These sales include direct sales with governments outside the U.S. and commercial sales with customers outside the U.S.</w:t>
      </w:r>
    </w:p>
    <w:p>
      <w:pPr>
        <w:spacing w:after="0" w:line="18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For federal contracts, the Company follows U.S. Government procurement and accounting standards in assessing the allowability and the allocability of costs to contracts. Recurring evaluations of contract cost, scheduling and technical matters are performed by management. Costs incurred and allocated to contracts with the U.S. Government are scrutinized for compliance with regulatory standards by the Company’s personnel, and are subject to audit by the Defense Contract Audit Agency (“DCAA”).</w:t>
      </w:r>
    </w:p>
    <w:p>
      <w:pPr>
        <w:spacing w:after="0" w:line="214" w:lineRule="exact"/>
        <w:rPr>
          <w:sz w:val="20"/>
          <w:szCs w:val="20"/>
          <w:color w:val="auto"/>
        </w:rPr>
      </w:pPr>
    </w:p>
    <w:p>
      <w:pPr>
        <w:ind w:right="420" w:firstLine="648"/>
        <w:spacing w:after="0" w:line="296" w:lineRule="auto"/>
        <w:rPr>
          <w:sz w:val="20"/>
          <w:szCs w:val="20"/>
          <w:color w:val="auto"/>
        </w:rPr>
      </w:pPr>
      <w:r>
        <w:rPr>
          <w:rFonts w:ascii="Arial" w:cs="Arial" w:eastAsia="Arial" w:hAnsi="Arial"/>
          <w:sz w:val="16"/>
          <w:szCs w:val="16"/>
          <w:color w:val="auto"/>
        </w:rPr>
        <w:t>From time to time, the Company may proceed with work based on customer direction prior to the completion and signing of formal contract documents. The Company has a formal review process for approving any such work. Revenue associated with such work is recognized only when the criteria to establish a contract under ASC 606 are met and the obligations under the contract are legally enforceable. As of December 27, 2020 and December 29, 2019, approximately $1.2 million and $4.7 million, respectively, of the Company’s unbilled accounts receivable balance were under an authorization to proceed or work order from its customers where a formal purchase order had not yet been received.</w:t>
      </w:r>
    </w:p>
    <w:p>
      <w:pPr>
        <w:spacing w:after="0" w:line="18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(f)</w:t>
      </w:r>
      <w:r>
        <w:rPr>
          <w:sz w:val="20"/>
          <w:szCs w:val="20"/>
          <w:color w:val="auto"/>
        </w:rPr>
        <w:tab/>
      </w:r>
      <w:r>
        <w:rPr>
          <w:rFonts w:ascii="Arial" w:cs="Arial" w:eastAsia="Arial" w:hAnsi="Arial"/>
          <w:sz w:val="15"/>
          <w:szCs w:val="15"/>
          <w:b w:val="1"/>
          <w:bCs w:val="1"/>
          <w:color w:val="auto"/>
        </w:rPr>
        <w:t>Inventoried costs</w:t>
      </w:r>
    </w:p>
    <w:p>
      <w:pPr>
        <w:spacing w:after="0" w:line="25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Inventoried costs are stated at the lower of cost or estimated net realizable value. Cost is determined using the average cost or first-in, first-out methods and the applicable method is applied consistently within an operating entity. The Company capitalizes labor, material, subcontractor and overhead costs as work-in-process for contracts where control has not yet passed to the customer. In addition, the Company capitalizes costs incurred to fulfill a contract in advance of contract award in inventories as work-in-process if it is determined that contract award is probable. Pursuant to contract provisions of U.S. Government contracts, such customers may have title to, or a security interest in inventories related to such contracts as a result of advances, performance-based payments, and progress payments.</w:t>
      </w:r>
    </w:p>
    <w:p>
      <w:pPr>
        <w:spacing w:after="0" w:line="219"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6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(g)</w:t>
      </w:r>
      <w:r>
        <w:rPr>
          <w:sz w:val="20"/>
          <w:szCs w:val="20"/>
          <w:color w:val="auto"/>
        </w:rPr>
        <w:tab/>
      </w:r>
      <w:r>
        <w:rPr>
          <w:rFonts w:ascii="Arial" w:cs="Arial" w:eastAsia="Arial" w:hAnsi="Arial"/>
          <w:sz w:val="16"/>
          <w:szCs w:val="16"/>
          <w:b w:val="1"/>
          <w:bCs w:val="1"/>
          <w:color w:val="auto"/>
        </w:rPr>
        <w:t>Research and Development</w:t>
      </w:r>
    </w:p>
    <w:p>
      <w:pPr>
        <w:spacing w:after="0" w:line="256"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Costs incurred in research and development activities are expensed as incurred in accordance with FASB ASC Topic 730</w:t>
      </w:r>
      <w:r>
        <w:rPr>
          <w:rFonts w:ascii="Arial" w:cs="Arial" w:eastAsia="Arial" w:hAnsi="Arial"/>
          <w:sz w:val="18"/>
          <w:szCs w:val="18"/>
          <w:i w:val="1"/>
          <w:iCs w:val="1"/>
          <w:color w:val="auto"/>
        </w:rPr>
        <w:t>, Research and</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79" w:name="page80"/>
    <w:bookmarkEnd w:id="79"/>
    <w:p>
      <w:pPr>
        <w:spacing w:after="0"/>
        <w:tabs>
          <w:tab w:leader="none" w:pos="380" w:val="left"/>
        </w:tabs>
        <w:rPr>
          <w:sz w:val="20"/>
          <w:szCs w:val="20"/>
          <w:color w:val="auto"/>
        </w:rPr>
      </w:pPr>
      <w:r>
        <w:rPr>
          <w:rFonts w:ascii="Arial" w:cs="Arial" w:eastAsia="Arial" w:hAnsi="Arial"/>
          <w:sz w:val="18"/>
          <w:szCs w:val="18"/>
          <w:b w:val="1"/>
          <w:bCs w:val="1"/>
          <w:color w:val="auto"/>
        </w:rPr>
        <w:t>(h)</w:t>
      </w:r>
      <w:r>
        <w:rPr>
          <w:sz w:val="20"/>
          <w:szCs w:val="20"/>
          <w:color w:val="auto"/>
        </w:rPr>
        <w:tab/>
      </w:r>
      <w:r>
        <w:rPr>
          <w:rFonts w:ascii="Arial" w:cs="Arial" w:eastAsia="Arial" w:hAnsi="Arial"/>
          <w:sz w:val="16"/>
          <w:szCs w:val="16"/>
          <w:b w:val="1"/>
          <w:bCs w:val="1"/>
          <w:color w:val="auto"/>
        </w:rPr>
        <w:t>Income Taxes</w:t>
      </w:r>
    </w:p>
    <w:p>
      <w:pPr>
        <w:spacing w:after="0" w:line="256"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The Company records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realized. The effect on deferred tax assets and liabilities of a change in tax rates is recognized in income in the period that includes the enactment date.</w:t>
      </w:r>
    </w:p>
    <w:p>
      <w:pPr>
        <w:spacing w:after="0" w:line="184"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The Company maintains a valuation allowance on the deferred tax assets for which it is more likely than not that the Company will not realize the benefits of these tax assets in future tax periods. The valuation allowance is based on estimates of future taxable income by tax jurisdiction in which the Company operates, the number of years over which the deferred tax assets will be recoverable, and scheduled reversals of deferred tax liabilities.</w:t>
      </w:r>
    </w:p>
    <w:p>
      <w:pPr>
        <w:spacing w:after="0" w:line="176"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 xml:space="preserve">In accordance with the recognition standards established by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(“Topic 740”), the Company makes a comprehensive review of its portfolio of uncertain tax positions regularly. In this regard, an uncertain tax position represents the Company’s expected treatment of a tax position taken in a filed tax return, or planned to be taken in a future tax return or claim, which has not been reflected in measuring income tax expense for financial reporting purposes. Until these positions are sustained by the taxing authorities, the Company has not recognized the tax benefits resulting from such positions and reports the tax effects as a liability for uncertain tax positions in its consolidated balance sheets.</w:t>
      </w:r>
    </w:p>
    <w:p>
      <w:pPr>
        <w:spacing w:after="0" w:line="184"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accounts for stock-based compensation in accordance with ASC Topic 718</w:t>
      </w:r>
      <w:r>
        <w:rPr>
          <w:rFonts w:ascii="Arial" w:cs="Arial" w:eastAsia="Arial" w:hAnsi="Arial"/>
          <w:sz w:val="17"/>
          <w:szCs w:val="17"/>
          <w:i w:val="1"/>
          <w:iCs w:val="1"/>
          <w:color w:val="auto"/>
        </w:rPr>
        <w:t>, Compensation-Stock Compensation</w:t>
      </w:r>
      <w:r>
        <w:rPr>
          <w:rFonts w:ascii="Arial" w:cs="Arial" w:eastAsia="Arial" w:hAnsi="Arial"/>
          <w:sz w:val="17"/>
          <w:szCs w:val="17"/>
          <w:color w:val="auto"/>
        </w:rPr>
        <w:t xml:space="preserve">. All of the Company’s stock-based compensation plans are considered equity plans under </w:t>
      </w:r>
      <w:r>
        <w:rPr>
          <w:rFonts w:ascii="Arial" w:cs="Arial" w:eastAsia="Arial" w:hAnsi="Arial"/>
          <w:sz w:val="17"/>
          <w:szCs w:val="17"/>
          <w:i w:val="1"/>
          <w:iCs w:val="1"/>
          <w:color w:val="auto"/>
        </w:rPr>
        <w:t>Topic 718</w:t>
      </w:r>
      <w:r>
        <w:rPr>
          <w:rFonts w:ascii="Arial" w:cs="Arial" w:eastAsia="Arial" w:hAnsi="Arial"/>
          <w:sz w:val="17"/>
          <w:szCs w:val="17"/>
          <w:color w:val="auto"/>
        </w:rPr>
        <w:t>, and compensation expense recognized is net of estimated forfeitures over the vesting period. The Company issues stock options and stock awards under its existing plans. The fair value of stock options is estimated on the date of grant using a Black-Scholes option-pricing model or a trinomial lattice options pricing model and is expensed on a straight-line basis over the remaining vesting period of the options, which is generally six or less years. The fair value of stock awards is determined based on the closing market price of the Company’s common stock on the grant date and is adjusted at each reporting date based on the amount of shares ultimately expected to vest. Compensation expense for stock awards is expensed over the vesting period, usually five to ten years. Compensation expense for stock issued under the Company’s employee stock purchase plan is estimated at the beginning date of the offering period using a Black-Scholes option-pricing model and is expensed on a straight-line basis over the period of the offering, which is generally six months.</w:t>
      </w:r>
    </w:p>
    <w:p>
      <w:pPr>
        <w:spacing w:after="0" w:line="20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When tax deductions from stock options and awards are greater than the cumulative book compensation expense, the tax effect of the resulting difference is a windfall. For the year ended December 27, 2020, an income tax benefit of $1.0 million was recorded for windfalls generated from stock options and awards exercised in 2020. For the year ended December 29, 2019, an income tax benefit of $2.1 million was recorded for windfalls generated from stock options and awards exercised in 2019. For the tax year ended December 30, 2018, there were no incremental tax benefits from stock options exercised in the period.</w:t>
      </w:r>
    </w:p>
    <w:p>
      <w:pPr>
        <w:spacing w:after="0" w:line="21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shows the amounts recognized in the consolidated financial statements for stock-based compensation expense related to stock options, stock awards and stock offered under the Company’s employee stock purchase plan (in millions).</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Year ended</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Year ended</w:t>
            </w:r>
          </w:p>
        </w:tc>
        <w:tc>
          <w:tcPr>
            <w:tcW w:w="200" w:type="dxa"/>
            <w:vAlign w:val="bottom"/>
          </w:tcPr>
          <w:p>
            <w:pPr>
              <w:spacing w:after="0"/>
              <w:rPr>
                <w:sz w:val="14"/>
                <w:szCs w:val="14"/>
                <w:color w:val="auto"/>
              </w:rPr>
            </w:pPr>
          </w:p>
        </w:tc>
        <w:tc>
          <w:tcPr>
            <w:tcW w:w="1120" w:type="dxa"/>
            <w:vAlign w:val="bottom"/>
          </w:tcPr>
          <w:p>
            <w:pPr>
              <w:jc w:val="right"/>
              <w:ind w:right="236"/>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96"/>
        </w:trPr>
        <w:tc>
          <w:tcPr>
            <w:tcW w:w="7000" w:type="dxa"/>
            <w:vAlign w:val="bottom"/>
          </w:tcPr>
          <w:p>
            <w:pPr>
              <w:spacing w:after="0"/>
              <w:rPr>
                <w:sz w:val="17"/>
                <w:szCs w:val="17"/>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27, 2020</w:t>
            </w:r>
          </w:p>
        </w:tc>
        <w:tc>
          <w:tcPr>
            <w:tcW w:w="14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29, 2019</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30, 2018</w:t>
            </w:r>
          </w:p>
        </w:tc>
        <w:tc>
          <w:tcPr>
            <w:tcW w:w="0" w:type="dxa"/>
            <w:vAlign w:val="bottom"/>
          </w:tcPr>
          <w:p>
            <w:pPr>
              <w:spacing w:after="0"/>
              <w:rPr>
                <w:sz w:val="1"/>
                <w:szCs w:val="1"/>
                <w:color w:val="auto"/>
              </w:rPr>
            </w:pPr>
          </w:p>
        </w:tc>
      </w:tr>
      <w:tr>
        <w:trPr>
          <w:trHeight w:val="229"/>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76"/>
        </w:trPr>
        <w:tc>
          <w:tcPr>
            <w:tcW w:w="7000" w:type="dxa"/>
            <w:vAlign w:val="bottom"/>
          </w:tcPr>
          <w:p>
            <w:pPr>
              <w:spacing w:after="0" w:line="176" w:lineRule="exact"/>
              <w:rPr>
                <w:sz w:val="20"/>
                <w:szCs w:val="20"/>
                <w:color w:val="auto"/>
              </w:rPr>
            </w:pPr>
            <w:r>
              <w:rPr>
                <w:rFonts w:ascii="Arial" w:cs="Arial" w:eastAsia="Arial" w:hAnsi="Arial"/>
                <w:sz w:val="18"/>
                <w:szCs w:val="18"/>
                <w:color w:val="auto"/>
                <w:w w:val="91"/>
              </w:rPr>
              <w:t>Total cost of employee stock-based compensation included in operating income from continuing</w:t>
            </w:r>
          </w:p>
        </w:tc>
        <w:tc>
          <w:tcPr>
            <w:tcW w:w="200" w:type="dxa"/>
            <w:vAlign w:val="bottom"/>
            <w:vMerge w:val="restart"/>
          </w:tcPr>
          <w:p>
            <w:pPr>
              <w:jc w:val="right"/>
              <w:ind w:right="16"/>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5"/>
                <w:szCs w:val="15"/>
                <w:color w:val="auto"/>
              </w:rPr>
            </w:pPr>
          </w:p>
        </w:tc>
        <w:tc>
          <w:tcPr>
            <w:tcW w:w="200" w:type="dxa"/>
            <w:vAlign w:val="bottom"/>
            <w:vMerge w:val="restart"/>
          </w:tcPr>
          <w:p>
            <w:pPr>
              <w:jc w:val="right"/>
              <w:ind w:right="16"/>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5"/>
                <w:szCs w:val="15"/>
                <w:color w:val="auto"/>
              </w:rPr>
            </w:pPr>
          </w:p>
        </w:tc>
        <w:tc>
          <w:tcPr>
            <w:tcW w:w="200" w:type="dxa"/>
            <w:vAlign w:val="bottom"/>
            <w:vMerge w:val="restart"/>
          </w:tcPr>
          <w:p>
            <w:pPr>
              <w:jc w:val="right"/>
              <w:ind w:right="16"/>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operations</w:t>
            </w:r>
          </w:p>
        </w:tc>
        <w:tc>
          <w:tcPr>
            <w:tcW w:w="20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(j)</w:t>
      </w:r>
      <w:r>
        <w:rPr>
          <w:sz w:val="20"/>
          <w:szCs w:val="20"/>
          <w:color w:val="auto"/>
        </w:rPr>
        <w:tab/>
      </w:r>
      <w:r>
        <w:rPr>
          <w:rFonts w:ascii="Arial" w:cs="Arial" w:eastAsia="Arial" w:hAnsi="Arial"/>
          <w:sz w:val="16"/>
          <w:szCs w:val="16"/>
          <w:b w:val="1"/>
          <w:bCs w:val="1"/>
          <w:color w:val="auto"/>
        </w:rPr>
        <w:t>Allowance for Doubtful Accounts</w:t>
      </w:r>
    </w:p>
    <w:p>
      <w:pPr>
        <w:spacing w:after="0" w:line="256"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The Company maintains an allowance for doubtful accounts for estimated losses resulting from the inability of its customers to make required payments, which results in bad debt expense. Management determines the adequacy of this allowance by periodically evaluating the comprehensive risk profiles of all individual customer receivable balances including, but not limited to, the customer’s financial condition, credit agency reports, financial statements and overall current economic conditions. Additionally, on certain contracts whereby the Company performs services for a prime/general contractor, a</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0" w:name="page81"/>
    <w:bookmarkEnd w:id="80"/>
    <w:p>
      <w:pPr>
        <w:jc w:val="both"/>
        <w:ind w:right="120"/>
        <w:spacing w:after="0" w:line="275" w:lineRule="auto"/>
        <w:rPr>
          <w:sz w:val="20"/>
          <w:szCs w:val="20"/>
          <w:color w:val="auto"/>
        </w:rPr>
      </w:pPr>
      <w:r>
        <w:rPr>
          <w:rFonts w:ascii="Arial" w:cs="Arial" w:eastAsia="Arial" w:hAnsi="Arial"/>
          <w:sz w:val="17"/>
          <w:szCs w:val="17"/>
          <w:color w:val="auto"/>
        </w:rPr>
        <w:t>specified percentage of the invoiced trade accounts receivable may be retained by the customer until the project is completed. The Company periodically reviews all retainages for collectability and records allowances for doubtful accounts when deemed appropriate, based on its assessment of the associated credit risks. Changes to estimates of contract value are recorded as adjustments to revenue and not as a component of the allowance for doubtful accounts. Individual accounts receivable are written off to the allowance for doubtful accounts when the Company becomes aware of a specific customer’s inability to meet its financial obligation, and all collection efforts are exhausted.</w:t>
      </w:r>
    </w:p>
    <w:p>
      <w:pPr>
        <w:spacing w:after="0" w:line="20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table outlines the balance of the Company’s allowance for doubtful accounts for 2020, 2019 and 2018. The table identifies the additional provisions each year as well as the write-offs that utilized the allowance (in millions).</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40" w:type="dxa"/>
            <w:vAlign w:val="bottom"/>
            <w:vMerge w:val="restart"/>
          </w:tcPr>
          <w:p>
            <w:pPr>
              <w:spacing w:after="0"/>
              <w:rPr>
                <w:sz w:val="20"/>
                <w:szCs w:val="20"/>
                <w:color w:val="auto"/>
              </w:rPr>
            </w:pPr>
            <w:r>
              <w:rPr>
                <w:rFonts w:ascii="Arial" w:cs="Arial" w:eastAsia="Arial" w:hAnsi="Arial"/>
                <w:sz w:val="14"/>
                <w:szCs w:val="14"/>
                <w:b w:val="1"/>
                <w:bCs w:val="1"/>
                <w:color w:val="auto"/>
              </w:rPr>
              <w:t>Allowance for Doubtful Accounts</w:t>
            </w:r>
          </w:p>
        </w:tc>
        <w:tc>
          <w:tcPr>
            <w:tcW w:w="188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4"/>
                <w:szCs w:val="14"/>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Provisions</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Write-</w:t>
            </w:r>
          </w:p>
        </w:tc>
        <w:tc>
          <w:tcPr>
            <w:tcW w:w="100" w:type="dxa"/>
            <w:vAlign w:val="bottom"/>
          </w:tcPr>
          <w:p>
            <w:pPr>
              <w:spacing w:after="0"/>
              <w:rPr>
                <w:sz w:val="14"/>
                <w:szCs w:val="14"/>
                <w:color w:val="auto"/>
              </w:rPr>
            </w:pPr>
          </w:p>
        </w:tc>
        <w:tc>
          <w:tcPr>
            <w:tcW w:w="1200" w:type="dxa"/>
            <w:vAlign w:val="bottom"/>
          </w:tcPr>
          <w:p>
            <w:pPr>
              <w:jc w:val="right"/>
              <w:ind w:right="17"/>
              <w:spacing w:after="0"/>
              <w:rPr>
                <w:sz w:val="20"/>
                <w:szCs w:val="20"/>
                <w:color w:val="auto"/>
              </w:rPr>
            </w:pPr>
            <w:r>
              <w:rPr>
                <w:rFonts w:ascii="Arial" w:cs="Arial" w:eastAsia="Arial" w:hAnsi="Arial"/>
                <w:sz w:val="14"/>
                <w:szCs w:val="14"/>
                <w:b w:val="1"/>
                <w:bCs w:val="1"/>
                <w:color w:val="auto"/>
                <w:w w:val="91"/>
              </w:rPr>
              <w:t>Balance at End of</w:t>
            </w:r>
          </w:p>
        </w:tc>
        <w:tc>
          <w:tcPr>
            <w:tcW w:w="0" w:type="dxa"/>
            <w:vAlign w:val="bottom"/>
          </w:tcPr>
          <w:p>
            <w:pPr>
              <w:spacing w:after="0"/>
              <w:rPr>
                <w:sz w:val="1"/>
                <w:szCs w:val="1"/>
                <w:color w:val="auto"/>
              </w:rPr>
            </w:pPr>
          </w:p>
        </w:tc>
      </w:tr>
      <w:tr>
        <w:trPr>
          <w:trHeight w:val="188"/>
        </w:trPr>
        <w:tc>
          <w:tcPr>
            <w:tcW w:w="3940" w:type="dxa"/>
            <w:vAlign w:val="bottom"/>
            <w:vMerge w:val="continue"/>
          </w:tcPr>
          <w:p>
            <w:pPr>
              <w:spacing w:after="0"/>
              <w:rPr>
                <w:sz w:val="16"/>
                <w:szCs w:val="16"/>
                <w:color w:val="auto"/>
              </w:rPr>
            </w:pPr>
          </w:p>
        </w:tc>
        <w:tc>
          <w:tcPr>
            <w:tcW w:w="3080" w:type="dxa"/>
            <w:vAlign w:val="bottom"/>
            <w:gridSpan w:val="3"/>
          </w:tcPr>
          <w:p>
            <w:pPr>
              <w:jc w:val="center"/>
              <w:ind w:left="1455"/>
              <w:spacing w:after="0"/>
              <w:rPr>
                <w:sz w:val="20"/>
                <w:szCs w:val="20"/>
                <w:color w:val="auto"/>
              </w:rPr>
            </w:pPr>
            <w:r>
              <w:rPr>
                <w:rFonts w:ascii="Arial" w:cs="Arial" w:eastAsia="Arial" w:hAnsi="Arial"/>
                <w:sz w:val="14"/>
                <w:szCs w:val="14"/>
                <w:b w:val="1"/>
                <w:bCs w:val="1"/>
                <w:color w:val="auto"/>
                <w:w w:val="91"/>
              </w:rPr>
              <w:t>Beginning of Year</w:t>
            </w: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offs/Recoveries</w:t>
            </w:r>
          </w:p>
        </w:tc>
        <w:tc>
          <w:tcPr>
            <w:tcW w:w="100" w:type="dxa"/>
            <w:vAlign w:val="bottom"/>
          </w:tcPr>
          <w:p>
            <w:pPr>
              <w:spacing w:after="0"/>
              <w:rPr>
                <w:sz w:val="16"/>
                <w:szCs w:val="16"/>
                <w:color w:val="auto"/>
              </w:rPr>
            </w:pPr>
          </w:p>
        </w:tc>
        <w:tc>
          <w:tcPr>
            <w:tcW w:w="1200" w:type="dxa"/>
            <w:vAlign w:val="bottom"/>
          </w:tcPr>
          <w:p>
            <w:pPr>
              <w:jc w:val="right"/>
              <w:ind w:right="437"/>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24"/>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 ended December 30, 2018</w:t>
            </w:r>
          </w:p>
        </w:tc>
        <w:tc>
          <w:tcPr>
            <w:tcW w:w="18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Year ended December 29, 2019</w:t>
            </w:r>
          </w:p>
        </w:tc>
        <w:tc>
          <w:tcPr>
            <w:tcW w:w="1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27, 2020</w:t>
            </w:r>
          </w:p>
        </w:tc>
        <w:tc>
          <w:tcPr>
            <w:tcW w:w="1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(k)</w:t>
      </w:r>
      <w:r>
        <w:rPr>
          <w:sz w:val="20"/>
          <w:szCs w:val="20"/>
          <w:color w:val="auto"/>
        </w:rPr>
        <w:tab/>
      </w:r>
      <w:r>
        <w:rPr>
          <w:rFonts w:ascii="Arial" w:cs="Arial" w:eastAsia="Arial" w:hAnsi="Arial"/>
          <w:sz w:val="16"/>
          <w:szCs w:val="16"/>
          <w:b w:val="1"/>
          <w:bCs w:val="1"/>
          <w:color w:val="auto"/>
        </w:rPr>
        <w:t>Cash and Cash Equivalents</w:t>
      </w:r>
    </w:p>
    <w:p>
      <w:pPr>
        <w:spacing w:after="0" w:line="25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Company’s cash equivalents consist of its highly liquid investments with an original maturity of three months or less when purchased by the Company.</w:t>
      </w:r>
    </w:p>
    <w:p>
      <w:pPr>
        <w:spacing w:after="0" w:line="19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Company had restricted cash accounts of approximately $0.7 million at December 27, 2020 and no restricted cash accounts at December 29, 2019. As of December 27, 2020, restricted cash consisted of funds being held pending the settlement of net working capital adjustments associated with recent acquisitions.</w:t>
      </w:r>
    </w:p>
    <w:p>
      <w:pPr>
        <w:spacing w:after="0" w:line="207" w:lineRule="exact"/>
        <w:rPr>
          <w:sz w:val="20"/>
          <w:szCs w:val="20"/>
          <w:color w:val="auto"/>
        </w:rPr>
      </w:pPr>
    </w:p>
    <w:p>
      <w:pPr>
        <w:ind w:left="360" w:hanging="352"/>
        <w:spacing w:after="0"/>
        <w:tabs>
          <w:tab w:leader="none" w:pos="3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Property and equipment, net owned by the Company is depreciated over the estimated useful lives of individual assets. Equipment acquired under capital leases are amortized over the shorter of the lease term or the estimated useful life of the asset. Improvements, which significantly improve and extend the useful life of an asset, are capitalized and depreciated over the shorter of the lease period or the estimated useful life. Expenditures for maintenance and repairs are charged to operations as incurred.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are depreciated predominately using the straight-line method, with the following lives: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04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Years</w:t>
            </w:r>
          </w:p>
        </w:tc>
        <w:tc>
          <w:tcPr>
            <w:tcW w:w="0" w:type="dxa"/>
            <w:vAlign w:val="bottom"/>
          </w:tcPr>
          <w:p>
            <w:pPr>
              <w:spacing w:after="0"/>
              <w:rPr>
                <w:sz w:val="1"/>
                <w:szCs w:val="1"/>
                <w:color w:val="auto"/>
              </w:rPr>
            </w:pPr>
          </w:p>
        </w:tc>
      </w:tr>
      <w:tr>
        <w:trPr>
          <w:trHeight w:val="229"/>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30"/>
        </w:trPr>
        <w:tc>
          <w:tcPr>
            <w:tcW w:w="904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2160" w:type="dxa"/>
            <w:vAlign w:val="bottom"/>
          </w:tcPr>
          <w:p>
            <w:pPr>
              <w:jc w:val="center"/>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9040" w:type="dxa"/>
            <w:vAlign w:val="bottom"/>
          </w:tcPr>
          <w:p>
            <w:pPr>
              <w:ind w:left="20"/>
              <w:spacing w:after="0"/>
              <w:rPr>
                <w:sz w:val="20"/>
                <w:szCs w:val="20"/>
                <w:color w:val="auto"/>
              </w:rPr>
            </w:pPr>
            <w:r>
              <w:rPr>
                <w:rFonts w:ascii="Arial" w:cs="Arial" w:eastAsia="Arial" w:hAnsi="Arial"/>
                <w:sz w:val="18"/>
                <w:szCs w:val="18"/>
                <w:color w:val="auto"/>
              </w:rPr>
              <w:t>Vehicles, furniture, and office equipment</w:t>
            </w:r>
          </w:p>
        </w:tc>
        <w:tc>
          <w:tcPr>
            <w:tcW w:w="21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75"/>
        </w:trPr>
        <w:tc>
          <w:tcPr>
            <w:tcW w:w="90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Shorter of useful life or</w:t>
            </w:r>
          </w:p>
        </w:tc>
        <w:tc>
          <w:tcPr>
            <w:tcW w:w="0" w:type="dxa"/>
            <w:vAlign w:val="bottom"/>
          </w:tcPr>
          <w:p>
            <w:pPr>
              <w:spacing w:after="0"/>
              <w:rPr>
                <w:sz w:val="1"/>
                <w:szCs w:val="1"/>
                <w:color w:val="auto"/>
              </w:rPr>
            </w:pPr>
          </w:p>
        </w:tc>
      </w:tr>
      <w:tr>
        <w:trPr>
          <w:trHeight w:val="229"/>
        </w:trPr>
        <w:tc>
          <w:tcPr>
            <w:tcW w:w="9040" w:type="dxa"/>
            <w:vAlign w:val="bottom"/>
            <w:vMerge w:val="continue"/>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length of lease</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(m)</w:t>
      </w:r>
      <w:r>
        <w:rPr>
          <w:sz w:val="20"/>
          <w:szCs w:val="20"/>
          <w:color w:val="auto"/>
        </w:rPr>
        <w:tab/>
      </w:r>
      <w:r>
        <w:rPr>
          <w:rFonts w:ascii="Arial" w:cs="Arial" w:eastAsia="Arial" w:hAnsi="Arial"/>
          <w:sz w:val="13"/>
          <w:szCs w:val="13"/>
          <w:b w:val="1"/>
          <w:bCs w:val="1"/>
          <w:color w:val="auto"/>
        </w:rPr>
        <w:t>Leases</w:t>
      </w:r>
    </w:p>
    <w:p>
      <w:pPr>
        <w:spacing w:after="0" w:line="25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In February 2016, the FASB issued ASU 2016-02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also referred to as “ASC 842”. ASC 842 requires that lessees recognize assets and liabilities for the rights and obligations underlying leases with a lease term of more than one year. The amendments in this ASU are effective for annual periods beginning after December 15, 2018. In July 2018, the FASB issued ASU 2018-11, </w:t>
      </w:r>
      <w:r>
        <w:rPr>
          <w:rFonts w:ascii="Arial" w:cs="Arial" w:eastAsia="Arial" w:hAnsi="Arial"/>
          <w:sz w:val="18"/>
          <w:szCs w:val="18"/>
          <w:i w:val="1"/>
          <w:iCs w:val="1"/>
          <w:color w:val="auto"/>
        </w:rPr>
        <w:t>Leases; Targeted Improvements</w:t>
      </w:r>
      <w:r>
        <w:rPr>
          <w:rFonts w:ascii="Arial" w:cs="Arial" w:eastAsia="Arial" w:hAnsi="Arial"/>
          <w:sz w:val="18"/>
          <w:szCs w:val="18"/>
          <w:color w:val="auto"/>
        </w:rPr>
        <w:t xml:space="preserve">, which, among other things, allowed the Company to elect an optional transition method that applies the new lease requirements through a cumulative-effect adjustment in the period of adoption. The Company adopted ASC 842 on December 31, 2018 using the optional transition method, and, as a result, did not recast prior period comparative financial statements. All prior period amounts and disclosures are presented under Accounting Standards Codification Topic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840”).</w:t>
      </w:r>
    </w:p>
    <w:p>
      <w:pPr>
        <w:spacing w:after="0" w:line="22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has elected the package of practical expedients, which, among other things, allows carry-forward of prior lease classifications under the prior standard. However, the Company has not elected to adopt the hindsight practical</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81" w:name="page82"/>
    <w:bookmarkEnd w:id="81"/>
    <w:p>
      <w:pPr>
        <w:ind w:right="60"/>
        <w:spacing w:after="0" w:line="257" w:lineRule="auto"/>
        <w:rPr>
          <w:sz w:val="20"/>
          <w:szCs w:val="20"/>
          <w:color w:val="auto"/>
        </w:rPr>
      </w:pPr>
      <w:r>
        <w:rPr>
          <w:rFonts w:ascii="Arial" w:cs="Arial" w:eastAsia="Arial" w:hAnsi="Arial"/>
          <w:sz w:val="18"/>
          <w:szCs w:val="18"/>
          <w:color w:val="auto"/>
        </w:rPr>
        <w:t>expedient and is therefore maintaining the lease terms previously determined under the prior lease standard. For all new and modified leases after adoption of ASC 842, the Company has taken the component election allowing the Company to account for lease components together with non-lease components in the calculation of the lease asset and corresponding liability. Adoption of the new standard resulted in the recording of additional lease assets and lease liabilities on the consolidated balance sheet. No cumulative-effect adjustment was recognized as the amount was not material, and the impact on the Company’s results of operations and cash flows was also not material.</w:t>
      </w:r>
    </w:p>
    <w:p>
      <w:pPr>
        <w:spacing w:after="0" w:line="21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leases certain facilities, office space, vehicles and equipment. Lease assets and lease liabilities are recognized at the commencement of an arrangement where it is determined at inception that a lease exists. Lease assets represent the right to use an underlying asset for the lease term, and lease liabilities represent the obligation to make lease payments arising from the lease. These assets and liabilities are initially recognized based on the present value of lease payments over the lease term calculated using an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 The Company has operating lease arrangements with lease and non-lease components. The non-lease components in these arrangements are not significant when compared to the lease components. For all operating leases, the Company accounts for the lease and non-lease components as a single component.</w:t>
      </w:r>
    </w:p>
    <w:p>
      <w:pPr>
        <w:spacing w:after="0" w:line="19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Variable lease payments are generally expensed as incurred. Leases with an initial term of 12 months or less are not recorded on the balance sheet, and the expense for these short-term leases is recognized on a straight-line basis over the lease term.</w:t>
      </w:r>
    </w:p>
    <w:p>
      <w:pPr>
        <w:spacing w:after="0" w:line="197"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The depreciable life of lease assets and leasehold improvements is limited by the expected lease term, unless there is a transfer of title or purchase option reasonably certain of exercise.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6 for additional disclosures related to the Company’s lease obligations.</w:t>
      </w:r>
    </w:p>
    <w:p>
      <w:pPr>
        <w:spacing w:after="0" w:line="23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(n)</w:t>
      </w:r>
      <w:r>
        <w:rPr>
          <w:sz w:val="20"/>
          <w:szCs w:val="20"/>
          <w:color w:val="auto"/>
        </w:rPr>
        <w:tab/>
      </w:r>
      <w:r>
        <w:rPr>
          <w:rFonts w:ascii="Arial" w:cs="Arial" w:eastAsia="Arial" w:hAnsi="Arial"/>
          <w:sz w:val="16"/>
          <w:szCs w:val="16"/>
          <w:b w:val="1"/>
          <w:bCs w:val="1"/>
          <w:color w:val="auto"/>
        </w:rPr>
        <w:t>Goodwill and Other Intangible Assets, Net</w:t>
      </w:r>
    </w:p>
    <w:p>
      <w:pPr>
        <w:spacing w:after="0" w:line="25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In accordance with the provisions of ASC </w:t>
      </w:r>
      <w:r>
        <w:rPr>
          <w:rFonts w:ascii="Arial" w:cs="Arial" w:eastAsia="Arial" w:hAnsi="Arial"/>
          <w:sz w:val="18"/>
          <w:szCs w:val="18"/>
          <w:i w:val="1"/>
          <w:iCs w:val="1"/>
          <w:color w:val="auto"/>
        </w:rPr>
        <w:t>Topic 350, Intangibles-Goodwill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Topic 350</w:t>
      </w:r>
      <w:r>
        <w:rPr>
          <w:rFonts w:ascii="Arial" w:cs="Arial" w:eastAsia="Arial" w:hAnsi="Arial"/>
          <w:sz w:val="18"/>
          <w:szCs w:val="18"/>
          <w:color w:val="auto"/>
        </w:rPr>
        <w:t>”), the Company performs impairment tests for goodwill and indefinite lived intangibles as of the last day of its fiscal October, or when evidence of potential impairment exists. When it is determined that impairment has occurred, a charge to operations is recorded. Goodwill and other purchased intangible asset balances are included in the identifiable assets of the operating segment to which they have been assigned. Any goodwill impairment, as well as the amortization of other purchased intangible assets, is charged against the respective segments’ operating income.</w:t>
      </w:r>
    </w:p>
    <w:p>
      <w:pPr>
        <w:spacing w:after="0" w:line="21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In accordance with </w:t>
      </w:r>
      <w:r>
        <w:rPr>
          <w:rFonts w:ascii="Arial" w:cs="Arial" w:eastAsia="Arial" w:hAnsi="Arial"/>
          <w:sz w:val="18"/>
          <w:szCs w:val="18"/>
          <w:i w:val="1"/>
          <w:iCs w:val="1"/>
          <w:color w:val="auto"/>
        </w:rPr>
        <w:t>Topic 350</w:t>
      </w:r>
      <w:r>
        <w:rPr>
          <w:rFonts w:ascii="Arial" w:cs="Arial" w:eastAsia="Arial" w:hAnsi="Arial"/>
          <w:sz w:val="18"/>
          <w:szCs w:val="18"/>
          <w:color w:val="auto"/>
        </w:rPr>
        <w:t>, the Company classifies intangible assets into two categories: (1) intangible assets with finite lives subject to amortization and (2) intangible assets with indefinite lives not subject to amortization. Separately, the Company tests intangible assets with finite lives for impairment if conditions exist that indicate the carrying value may not be recoverable. Such conditions may include an economic downturn in a geographic market or a change in the assessment of future operations. The Company records an impairment charge when the carrying value of the finite lived intangible asset is not recoverable by the cash flows generated from the use of the asset.</w:t>
      </w:r>
    </w:p>
    <w:p>
      <w:pPr>
        <w:spacing w:after="0" w:line="21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determines the useful lives of identifiable intangible assets after considering the specific facts and circumstances related to each intangible asset. Factors considered when determining useful lives include the contractual term of any agreement, the history of the asset, the Company’s long-term strategy for the use of the asset, any laws or other local regulations that could impact the useful life of the asset, and other economic factors, including competition and specific market conditions. Intangible assets that are deemed to have finite lives are amortized, generally on a straight-line basis, over their useful lives, ranging from one to 15 years.</w:t>
      </w:r>
    </w:p>
    <w:p>
      <w:pPr>
        <w:spacing w:after="0" w:line="21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6"/>
          <w:szCs w:val="16"/>
          <w:b w:val="1"/>
          <w:bCs w:val="1"/>
          <w:color w:val="auto"/>
        </w:rPr>
        <w:t>Impairment of Long-Lived Assets and Long-Lived Assets to Be Disposed Of</w:t>
      </w:r>
    </w:p>
    <w:p>
      <w:pPr>
        <w:spacing w:after="0" w:line="256"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 xml:space="preserve">Long-lived assets are reviewed for impairment in accordance with ASC </w:t>
      </w:r>
      <w:r>
        <w:rPr>
          <w:rFonts w:ascii="Arial" w:cs="Arial" w:eastAsia="Arial" w:hAnsi="Arial"/>
          <w:sz w:val="16"/>
          <w:szCs w:val="16"/>
          <w:i w:val="1"/>
          <w:iCs w:val="1"/>
          <w:color w:val="auto"/>
        </w:rPr>
        <w:t>Topic 360, Property, Plant, and Equipment</w:t>
      </w:r>
      <w:r>
        <w:rPr>
          <w:rFonts w:ascii="Arial" w:cs="Arial" w:eastAsia="Arial" w:hAnsi="Arial"/>
          <w:sz w:val="16"/>
          <w:szCs w:val="16"/>
          <w:color w:val="auto"/>
        </w:rPr>
        <w:t>, whenever events or changes in circumstances indicate that the carrying amount of an asset may not be recoverable. Recoverability of assets to be held and used is measured by a comparison of the carrying amount of the assets to future net cash flows (undiscounted and without interest)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82" w:name="page83"/>
    <w:bookmarkEnd w:id="82"/>
    <w:p>
      <w:pPr>
        <w:spacing w:after="0"/>
        <w:tabs>
          <w:tab w:leader="none" w:pos="380" w:val="left"/>
        </w:tabs>
        <w:rPr>
          <w:sz w:val="20"/>
          <w:szCs w:val="20"/>
          <w:color w:val="auto"/>
        </w:rPr>
      </w:pPr>
      <w:r>
        <w:rPr>
          <w:rFonts w:ascii="Arial" w:cs="Arial" w:eastAsia="Arial" w:hAnsi="Arial"/>
          <w:sz w:val="18"/>
          <w:szCs w:val="18"/>
          <w:b w:val="1"/>
          <w:bCs w:val="1"/>
          <w:color w:val="auto"/>
        </w:rPr>
        <w:t>(p)</w:t>
      </w:r>
      <w:r>
        <w:rPr>
          <w:sz w:val="20"/>
          <w:szCs w:val="20"/>
          <w:color w:val="auto"/>
        </w:rPr>
        <w:tab/>
      </w:r>
      <w:r>
        <w:rPr>
          <w:rFonts w:ascii="Arial" w:cs="Arial" w:eastAsia="Arial" w:hAnsi="Arial"/>
          <w:sz w:val="16"/>
          <w:szCs w:val="16"/>
          <w:b w:val="1"/>
          <w:bCs w:val="1"/>
          <w:color w:val="auto"/>
        </w:rPr>
        <w:t>Fair Value of Financial Instruments</w:t>
      </w:r>
    </w:p>
    <w:p>
      <w:pPr>
        <w:spacing w:after="0" w:line="25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ASC Topic 825</w:t>
      </w:r>
      <w:r>
        <w:rPr>
          <w:rFonts w:ascii="Arial" w:cs="Arial" w:eastAsia="Arial" w:hAnsi="Arial"/>
          <w:sz w:val="18"/>
          <w:szCs w:val="18"/>
          <w:i w:val="1"/>
          <w:iCs w:val="1"/>
          <w:color w:val="auto"/>
        </w:rPr>
        <w:t>, Financial Instruments,</w:t>
      </w:r>
      <w:r>
        <w:rPr>
          <w:rFonts w:ascii="Arial" w:cs="Arial" w:eastAsia="Arial" w:hAnsi="Arial"/>
          <w:sz w:val="18"/>
          <w:szCs w:val="18"/>
          <w:color w:val="auto"/>
        </w:rPr>
        <w:t xml:space="preserve"> requires that fair values be disclosed for the Company’s financial instruments. The carrying amounts of cash equivalents, accounts receivable, accounts payable, accrued expenses, billings in excess of costs and earnings on uncompleted contracts, and income taxes payable, approximate fair value due to the short-term nature of these instruments. The fair value of the Company’s long-term debt is based upon quoted market prices.</w:t>
      </w:r>
    </w:p>
    <w:p>
      <w:pPr>
        <w:spacing w:after="0" w:line="2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Concentrations and Uncertainties</w:t>
      </w:r>
    </w:p>
    <w:p>
      <w:pPr>
        <w:spacing w:after="0" w:line="256"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The Company maintains cash balances at various financial institutions and such balances commonly exceed the $250,000 insured amount by the Federal Deposit Insurance Corporation. The Company has not experienced any losses in such accounts and management believes that the Company is not exposed to any significant credit risk with respect to such cash and cash equivalents.</w:t>
      </w:r>
    </w:p>
    <w:p>
      <w:pPr>
        <w:spacing w:after="0" w:line="211"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Financial instruments, which subject the Company to potential concentrations of credit risk, consist principally of the Company’s billed and unbilled accounts receivable. The Company’s accounts receivable result from sales to customers within the U.S. Government, state and local agencies and with commercial customers in various industries. The Company performs ongoing credit evaluations of its commercial customers. Credit is extended based on evaluation of the customer’s financial condition and collateral is not required. Accounts receivable are recorded at the invoiced amount and do not bear interest. See Note 13 for a discussion of the Company’s significant customers.</w:t>
      </w:r>
    </w:p>
    <w:p>
      <w:pPr>
        <w:spacing w:after="0" w:line="19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(r)</w:t>
      </w:r>
      <w:r>
        <w:rPr>
          <w:sz w:val="20"/>
          <w:szCs w:val="20"/>
          <w:color w:val="auto"/>
        </w:rPr>
        <w:tab/>
      </w:r>
      <w:r>
        <w:rPr>
          <w:rFonts w:ascii="Arial" w:cs="Arial" w:eastAsia="Arial" w:hAnsi="Arial"/>
          <w:sz w:val="15"/>
          <w:szCs w:val="15"/>
          <w:b w:val="1"/>
          <w:bCs w:val="1"/>
          <w:color w:val="auto"/>
        </w:rPr>
        <w:t>Debt Issuance Costs</w:t>
      </w:r>
    </w:p>
    <w:p>
      <w:pPr>
        <w:spacing w:after="0" w:line="256"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Fees paid to obtain debt financing and revolving credit facilities or amendments under such debt financing and revolving credit facilities are treated as debt issuance costs and are capitalized and amortized over the expected term of the related debt or revolving credit facility and are shown as a financing activity in the consolidated statements of cash flows. Issuance costs related to debt are presented in the consolidated balance sheets as a direct deduction from the carrying amount of the associated debt liability. Issuance costs related to a revolving credit facility are included in other assets in the consolidated balance sheets.</w:t>
      </w:r>
    </w:p>
    <w:p>
      <w:pPr>
        <w:spacing w:after="0" w:line="211" w:lineRule="exact"/>
        <w:rPr>
          <w:sz w:val="20"/>
          <w:szCs w:val="20"/>
          <w:color w:val="auto"/>
        </w:rPr>
      </w:pPr>
    </w:p>
    <w:p>
      <w:pPr>
        <w:ind w:left="380" w:hanging="372"/>
        <w:spacing w:after="0"/>
        <w:tabs>
          <w:tab w:leader="none" w:pos="3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Interest Expense, 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net is summarized in the following table (in millions):</w:t>
      </w: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Year ended</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Year ended</w:t>
            </w:r>
          </w:p>
        </w:tc>
        <w:tc>
          <w:tcPr>
            <w:tcW w:w="200" w:type="dxa"/>
            <w:vAlign w:val="bottom"/>
          </w:tcPr>
          <w:p>
            <w:pPr>
              <w:spacing w:after="0"/>
              <w:rPr>
                <w:sz w:val="14"/>
                <w:szCs w:val="14"/>
                <w:color w:val="auto"/>
              </w:rPr>
            </w:pPr>
          </w:p>
        </w:tc>
        <w:tc>
          <w:tcPr>
            <w:tcW w:w="1120" w:type="dxa"/>
            <w:vAlign w:val="bottom"/>
          </w:tcPr>
          <w:p>
            <w:pPr>
              <w:jc w:val="right"/>
              <w:ind w:right="235"/>
              <w:spacing w:after="0"/>
              <w:rPr>
                <w:sz w:val="20"/>
                <w:szCs w:val="20"/>
                <w:color w:val="auto"/>
              </w:rPr>
            </w:pPr>
            <w:r>
              <w:rPr>
                <w:rFonts w:ascii="Arial" w:cs="Arial" w:eastAsia="Arial" w:hAnsi="Arial"/>
                <w:sz w:val="14"/>
                <w:szCs w:val="14"/>
                <w:b w:val="1"/>
                <w:bCs w:val="1"/>
                <w:color w:val="auto"/>
              </w:rPr>
              <w:t>Year ended</w:t>
            </w:r>
          </w:p>
        </w:tc>
      </w:tr>
      <w:tr>
        <w:trPr>
          <w:trHeight w:val="188"/>
        </w:trPr>
        <w:tc>
          <w:tcPr>
            <w:tcW w:w="7000" w:type="dxa"/>
            <w:vAlign w:val="bottom"/>
          </w:tcPr>
          <w:p>
            <w:pPr>
              <w:spacing w:after="0"/>
              <w:rPr>
                <w:sz w:val="16"/>
                <w:szCs w:val="16"/>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27, 2020</w:t>
            </w:r>
          </w:p>
        </w:tc>
        <w:tc>
          <w:tcPr>
            <w:tcW w:w="14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29, 2019</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30, 2018</w:t>
            </w:r>
          </w:p>
        </w:tc>
      </w:tr>
      <w:tr>
        <w:trPr>
          <w:trHeight w:val="224"/>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incurred primarily on the Senior Secured Notes</w:t>
            </w: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Miscellaneous interest income</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48"/>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(t)</w:t>
      </w:r>
      <w:r>
        <w:rPr>
          <w:sz w:val="20"/>
          <w:szCs w:val="20"/>
          <w:color w:val="auto"/>
        </w:rPr>
        <w:tab/>
      </w:r>
      <w:r>
        <w:rPr>
          <w:rFonts w:ascii="Arial" w:cs="Arial" w:eastAsia="Arial" w:hAnsi="Arial"/>
          <w:sz w:val="16"/>
          <w:szCs w:val="16"/>
          <w:b w:val="1"/>
          <w:bCs w:val="1"/>
          <w:color w:val="auto"/>
        </w:rPr>
        <w:t>Foreign Currency</w:t>
      </w:r>
    </w:p>
    <w:p>
      <w:pPr>
        <w:spacing w:after="0" w:line="25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For operations outside the U.S. that prepare financial statements in currencies other than the U.S. dollar, results of operations and cash flows are translated at average exchange rates during the period, and assets and liabilities are generally translated at end-of-period exchange rates. Translation adjustments are included as a separate component of accumulated other comprehensive loss.</w:t>
      </w:r>
    </w:p>
    <w:p>
      <w:pPr>
        <w:spacing w:after="0" w:line="211"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Company transacts with foreign customers in currencies other than the U.S. dollar. It experiences realized and unrealized foreign currency gains or losses on foreign denominated receivables. In addition, certain intercompany transactions give rise to realized and unrealized foreign currency gains or losses. Also, any other transactions between the Company or its subsidiaries and a third-party, denominated in a currency different from the functional currency, are foreign currency transactions.</w:t>
      </w:r>
    </w:p>
    <w:p>
      <w:pPr>
        <w:spacing w:after="0" w:line="214"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aggregate foreign currency transaction gain (loss) included in determining net income (loss) for the years ended December 27, 2020, December 29, 2019, and December 30, 2018 was approximately $0.0 million, $(1.1) million, and $(1.1)</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3" w:name="page84"/>
    <w:bookmarkEnd w:id="83"/>
    <w:p>
      <w:pPr>
        <w:spacing w:after="0"/>
        <w:rPr>
          <w:sz w:val="20"/>
          <w:szCs w:val="20"/>
          <w:color w:val="auto"/>
        </w:rPr>
      </w:pPr>
      <w:r>
        <w:rPr>
          <w:rFonts w:ascii="Arial" w:cs="Arial" w:eastAsia="Arial" w:hAnsi="Arial"/>
          <w:sz w:val="16"/>
          <w:szCs w:val="16"/>
          <w:color w:val="auto"/>
        </w:rPr>
        <w:t>million, respectively, which is included in other income (expense), net on the accompanying consolidated statements of operations and comprehensive loss.</w:t>
      </w:r>
    </w:p>
    <w:p>
      <w:pPr>
        <w:spacing w:after="0" w:line="2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(u)</w:t>
      </w:r>
      <w:r>
        <w:rPr>
          <w:sz w:val="20"/>
          <w:szCs w:val="20"/>
          <w:color w:val="auto"/>
        </w:rPr>
        <w:tab/>
      </w:r>
      <w:r>
        <w:rPr>
          <w:rFonts w:ascii="Arial" w:cs="Arial" w:eastAsia="Arial" w:hAnsi="Arial"/>
          <w:sz w:val="15"/>
          <w:szCs w:val="15"/>
          <w:b w:val="1"/>
          <w:bCs w:val="1"/>
          <w:color w:val="auto"/>
        </w:rPr>
        <w:t>Recent Accounting Pronouncements</w:t>
      </w:r>
    </w:p>
    <w:p>
      <w:pPr>
        <w:spacing w:after="0" w:line="256"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 xml:space="preserve">In June 2016, the FASB issued ASU 2016-13 (“ASU 2016-13”), </w:t>
      </w:r>
      <w:r>
        <w:rPr>
          <w:rFonts w:ascii="Arial" w:cs="Arial" w:eastAsia="Arial" w:hAnsi="Arial"/>
          <w:sz w:val="16"/>
          <w:szCs w:val="16"/>
          <w:i w:val="1"/>
          <w:iCs w:val="1"/>
          <w:color w:val="auto"/>
        </w:rPr>
        <w:t>Financial Instruments-Credit Losses (Topic 326): Measurement of Credit Losses</w:t>
      </w:r>
      <w:r>
        <w:rPr>
          <w:rFonts w:ascii="Arial" w:cs="Arial" w:eastAsia="Arial" w:hAnsi="Arial"/>
          <w:sz w:val="16"/>
          <w:szCs w:val="16"/>
          <w:color w:val="auto"/>
        </w:rPr>
        <w:t xml:space="preserve"> </w:t>
      </w:r>
      <w:r>
        <w:rPr>
          <w:rFonts w:ascii="Arial" w:cs="Arial" w:eastAsia="Arial" w:hAnsi="Arial"/>
          <w:sz w:val="16"/>
          <w:szCs w:val="16"/>
          <w:i w:val="1"/>
          <w:iCs w:val="1"/>
          <w:color w:val="auto"/>
        </w:rPr>
        <w:t>on Financial Instruments</w:t>
      </w:r>
      <w:r>
        <w:rPr>
          <w:rFonts w:ascii="Arial" w:cs="Arial" w:eastAsia="Arial" w:hAnsi="Arial"/>
          <w:sz w:val="16"/>
          <w:szCs w:val="16"/>
          <w:color w:val="auto"/>
        </w:rPr>
        <w:t>. The main objective of this update is to provide financial statement users with more decision-useful information about the</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credit losses on financial instruments and other commitments to extend credit held by a reporting entity at each reporting date. To achieve this objective, the amendments in this update replace the incurred loss impairment methodology in current GAAP with a methodology that reflects expected credit losses and requires consideration of a broader range of reasonable and supportable information to inform credit loss estimates. ASU 2016-13 is effective for fiscal years beginning after December 15, 2019, including interim periods within those fiscal years. The Company has adopted ASU 2016-13 effective December 30, 2019. The implementation of this guidance did not have a material impact on its consolidated financial statements.</w:t>
      </w:r>
    </w:p>
    <w:p>
      <w:pPr>
        <w:spacing w:after="0" w:line="1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Acquisitions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FTT Entities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February 27, 2019, the Company acquired 80.1% of the issued and outstanding shares of capital stock of Florida Turbine Technologies Inc., a Florida corporation (“FTT Inc.”), and 80.1% of the membership interests in FTT CORE, LLC, a Delaware limited liability company (“FTT Core” and, together with FTT Inc. and their respective subsidiaries, “FTT”), for an aggregate purchase price of approximately $60 million. The purchase price was $33 million in cash, with approximately $17.7 million paid at close and approximately $15.3 million to be paid over a three-year period, subject to adjustments for transaction expenses, indebtedness, cash on hand, certain amounts payable or potentially payable to employees of FTT and post-closing working capital adjustments, and 1,825,406 shares of common stock (with a value of approximately $27 million).</w:t>
      </w:r>
    </w:p>
    <w:p>
      <w:pPr>
        <w:spacing w:after="0" w:line="20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FTT is a leading turbomachinery design and manufacturing company specializing in engineering, development, and testing of gas turbines, propulsion components, engine and other systems for military and commercial applications. FTT is now the KTT Division, which is focused on the development and production of small, affordable, high-performance jet engines for the next generation of tactical weapon systems and tactical jet UAS. The KTT Division is included in the KGS segment.</w:t>
      </w:r>
    </w:p>
    <w:p>
      <w:pPr>
        <w:spacing w:after="0" w:line="214"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excess of the purchase price over the fair value of the tangible and identifiable intangible assets acquired and liabilities assumed in the acquisition was allocated to goodwill. The goodwill represents the value the Company expects to be created by enabling it to accelerate FTT’s small engine development programs, and facilitate integration of these leading-edge engine solutions with evolving Kratos tactical systems.</w:t>
      </w:r>
    </w:p>
    <w:p>
      <w:pPr>
        <w:spacing w:after="0" w:line="192"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Simultaneously with the execution of the Purchase Agreement among the Company and the Sellers (as defined in such agreement) (the “Purchase Agreement”) and completion of the acquisition, the Company, FTT Inc., FTT Core and the Sellers entered into an exchange agreement (the “Exchange Agreement”) pursuant to which, among other things, (i) FTT Core was converted into a Delaware corporation, (ii) beginning in January 2024, the Holders (as defined in the Exchange Agreement) will have an annual right (the “Put Right”) to sell all of the minority interests in FTT Inc. and FTT Core (the “Minority Interests”) to the Company at a purchase price based on a specified multiple of the trailing 12 months EBITDA of FTT Inc., FTT Core and each of their respective subsidiaries (the “Acquired Companies”) as set forth in the Exchange Agreement (the “Minority Interest Purchase Price”) (provided, however, that following certain events, including a change of control, the Put Right will be accelerated and the Minority Interest Purchase Price will be a specified increased multiple of the trailing 12 months EBITDA of the Acquired Companies as set forth in the Exchange Agreement), and (iii) beginning in January 2025, the Company will have an annual right to purchase all of the Minority Interests from the Holders at the Minority Interest Purchase Price.</w:t>
      </w:r>
    </w:p>
    <w:p>
      <w:pPr>
        <w:spacing w:after="0" w:line="193"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 transaction has been accounted for using the acquisition method of accounting, which requires, among other things, that the assets acquired, the liabilities assumed, and the noncontrolling interest be recognized at their fair values as of the acquisition date. The fair value measurements are based primarily on significant inputs not observable in the marketplace and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84" w:name="page85"/>
    <w:bookmarkEnd w:id="84"/>
    <w:p>
      <w:pPr>
        <w:ind w:right="20"/>
        <w:spacing w:after="0" w:line="277" w:lineRule="auto"/>
        <w:rPr>
          <w:sz w:val="20"/>
          <w:szCs w:val="20"/>
          <w:color w:val="auto"/>
        </w:rPr>
      </w:pPr>
      <w:r>
        <w:rPr>
          <w:rFonts w:ascii="Arial" w:cs="Arial" w:eastAsia="Arial" w:hAnsi="Arial"/>
          <w:sz w:val="18"/>
          <w:szCs w:val="18"/>
          <w:color w:val="auto"/>
        </w:rPr>
        <w:t>thus represent Level 3 measurements. The following table summarizes the allocation of the purchase price over the estimated fair values of the major assets acquired, liabilities assumed, and noncontrolling interest (in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8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Inventoried costs</w:t>
            </w:r>
          </w:p>
        </w:tc>
        <w:tc>
          <w:tcPr>
            <w:tcW w:w="8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8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8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8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8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23"/>
        </w:trPr>
        <w:tc>
          <w:tcPr>
            <w:tcW w:w="9260" w:type="dxa"/>
            <w:vAlign w:val="bottom"/>
          </w:tcPr>
          <w:p>
            <w:pPr>
              <w:ind w:left="120"/>
              <w:spacing w:after="0"/>
              <w:rPr>
                <w:sz w:val="20"/>
                <w:szCs w:val="20"/>
                <w:color w:val="auto"/>
              </w:rPr>
            </w:pPr>
            <w:r>
              <w:rPr>
                <w:rFonts w:ascii="Arial" w:cs="Arial" w:eastAsia="Arial" w:hAnsi="Arial"/>
                <w:sz w:val="18"/>
                <w:szCs w:val="18"/>
                <w:color w:val="auto"/>
              </w:rPr>
              <w:t>Total identifiable net assets acquired</w:t>
            </w:r>
          </w:p>
        </w:tc>
        <w:tc>
          <w:tcPr>
            <w:tcW w:w="8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82.4</w:t>
            </w: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liabilities assumed</w:t>
            </w:r>
          </w:p>
        </w:tc>
        <w:tc>
          <w:tcPr>
            <w:tcW w:w="8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9260" w:type="dxa"/>
            <w:vAlign w:val="bottom"/>
          </w:tcPr>
          <w:p>
            <w:pPr>
              <w:ind w:left="120"/>
              <w:spacing w:after="0"/>
              <w:rPr>
                <w:sz w:val="20"/>
                <w:szCs w:val="20"/>
                <w:color w:val="auto"/>
              </w:rPr>
            </w:pPr>
            <w:r>
              <w:rPr>
                <w:rFonts w:ascii="Arial" w:cs="Arial" w:eastAsia="Arial" w:hAnsi="Arial"/>
                <w:sz w:val="18"/>
                <w:szCs w:val="18"/>
                <w:color w:val="auto"/>
              </w:rPr>
              <w:t>Net assets before noncontrolling interest</w:t>
            </w:r>
          </w:p>
        </w:tc>
        <w:tc>
          <w:tcPr>
            <w:tcW w:w="8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8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3"/>
        </w:trPr>
        <w:tc>
          <w:tcPr>
            <w:tcW w:w="9260" w:type="dxa"/>
            <w:vAlign w:val="bottom"/>
          </w:tcPr>
          <w:p>
            <w:pPr>
              <w:ind w:left="120"/>
              <w:spacing w:after="0"/>
              <w:rPr>
                <w:sz w:val="20"/>
                <w:szCs w:val="20"/>
                <w:color w:val="auto"/>
              </w:rPr>
            </w:pPr>
            <w:r>
              <w:rPr>
                <w:rFonts w:ascii="Arial" w:cs="Arial" w:eastAsia="Arial" w:hAnsi="Arial"/>
                <w:sz w:val="18"/>
                <w:szCs w:val="18"/>
                <w:color w:val="auto"/>
              </w:rPr>
              <w:t>Net assets acquired, excluding cash</w:t>
            </w: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r>
      <w:tr>
        <w:trPr>
          <w:trHeight w:val="20"/>
        </w:trPr>
        <w:tc>
          <w:tcPr>
            <w:tcW w:w="9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As of February 27, 2019, net liabilities included $7.5 million of current liabilities. There was no contingent purchase consideration associated with the acquisition of an 80.1% majority interest in FTT. The identifiable intangible assets include customer relationships of $19.7 million with a useful life of 13 years, in-process research and development of $8.5 million that will commence amortization at the completion of the development project, backlog of $2.1 million with a useful life of two years, and trade name of $0.5 million with a useful life of two years. The Company also established a deferred tax liability of $7.0 million for the increase in the financial statement basis of the acquired assets of FTT and a corresponding increase in goodwill. The goodwill recorded in this transaction is not expected to be tax-deductible.</w:t>
      </w:r>
    </w:p>
    <w:p>
      <w:pPr>
        <w:spacing w:after="0" w:line="20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value of customer relationships was estimated using the multi-period excess earnings method (“MPEEM”), an income approach (Level 3), which converts projected revenues and costs into cash flows. To reflect the fact that certain other assets contribute to the cash flows generated, the returns for these contributory assets were removed to arrive at estimated cash flows solely attributable to the acquired customer relationships, which were discounted at a rate of 12.5% to determine the fair value. The value of backlog was also valued using MPEEM. The value of in-process research and development was estimated using the relief-from-royalty method, an income approach (Level 3), which estimates the cost savings that accrue to the owner of the intangible asset that would otherwise be payable as royalties or license fees on revenues earned through the use of the asset. A royalty rate was applied to the projected revenues associated with the intangible asset to determine the amount of savings, which was at a rate of 10% to determine the fair value.</w:t>
      </w:r>
    </w:p>
    <w:p>
      <w:pPr>
        <w:spacing w:after="0" w:line="21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amounts of revenue and operating loss of FTT included in the Company's consolidated statement of operations for the year ended December 29, 2019 are $52.5 million and $0.7 million, respectively. Included in the merger and acquisition expenses for the year ended December 29, 2019 are transaction expenses of $1.4 million related to the acquisition of FTT.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00" w:type="dxa"/>
            <w:vAlign w:val="bottom"/>
          </w:tcPr>
          <w:p>
            <w:pPr>
              <w:ind w:left="660"/>
              <w:spacing w:after="0"/>
              <w:rPr>
                <w:sz w:val="20"/>
                <w:szCs w:val="20"/>
                <w:color w:val="auto"/>
              </w:rPr>
            </w:pPr>
            <w:r>
              <w:rPr>
                <w:rFonts w:ascii="Arial" w:cs="Arial" w:eastAsia="Arial" w:hAnsi="Arial"/>
                <w:sz w:val="18"/>
                <w:szCs w:val="18"/>
                <w:color w:val="auto"/>
              </w:rPr>
              <w:t>A summary of the consideration paid for the acquired ownership in FTT is as follow:</w:t>
            </w: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62"/>
        </w:trPr>
        <w:tc>
          <w:tcPr>
            <w:tcW w:w="9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0"/>
        </w:trPr>
        <w:tc>
          <w:tcPr>
            <w:tcW w:w="9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20.7</w:t>
            </w:r>
          </w:p>
        </w:tc>
      </w:tr>
      <w:tr>
        <w:trPr>
          <w:trHeight w:val="230"/>
        </w:trPr>
        <w:tc>
          <w:tcPr>
            <w:tcW w:w="9700" w:type="dxa"/>
            <w:vAlign w:val="bottom"/>
          </w:tcPr>
          <w:p>
            <w:pPr>
              <w:ind w:left="20"/>
              <w:spacing w:after="0"/>
              <w:rPr>
                <w:sz w:val="20"/>
                <w:szCs w:val="20"/>
                <w:color w:val="auto"/>
              </w:rPr>
            </w:pPr>
            <w:r>
              <w:rPr>
                <w:rFonts w:ascii="Arial" w:cs="Arial" w:eastAsia="Arial" w:hAnsi="Arial"/>
                <w:sz w:val="18"/>
                <w:szCs w:val="18"/>
                <w:color w:val="auto"/>
              </w:rPr>
              <w:t>Deferred purchase consideration</w:t>
            </w:r>
          </w:p>
        </w:tc>
        <w:tc>
          <w:tcPr>
            <w:tcW w:w="620" w:type="dxa"/>
            <w:vAlign w:val="bottom"/>
          </w:tcPr>
          <w:p>
            <w:pPr>
              <w:spacing w:after="0"/>
              <w:rPr>
                <w:sz w:val="19"/>
                <w:szCs w:val="19"/>
                <w:color w:val="auto"/>
              </w:rPr>
            </w:pPr>
          </w:p>
        </w:tc>
        <w:tc>
          <w:tcPr>
            <w:tcW w:w="900" w:type="dxa"/>
            <w:vAlign w:val="bottom"/>
          </w:tcPr>
          <w:p>
            <w:pPr>
              <w:ind w:left="500"/>
              <w:spacing w:after="0"/>
              <w:rPr>
                <w:sz w:val="20"/>
                <w:szCs w:val="20"/>
                <w:color w:val="auto"/>
              </w:rPr>
            </w:pPr>
            <w:r>
              <w:rPr>
                <w:rFonts w:ascii="Arial" w:cs="Arial" w:eastAsia="Arial" w:hAnsi="Arial"/>
                <w:sz w:val="18"/>
                <w:szCs w:val="18"/>
                <w:color w:val="auto"/>
              </w:rPr>
              <w:t>15.3</w:t>
            </w:r>
          </w:p>
        </w:tc>
      </w:tr>
      <w:tr>
        <w:trPr>
          <w:trHeight w:val="230"/>
        </w:trPr>
        <w:tc>
          <w:tcPr>
            <w:tcW w:w="9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issued</w:t>
            </w: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27.0</w:t>
            </w:r>
          </w:p>
        </w:tc>
      </w:tr>
      <w:tr>
        <w:trPr>
          <w:trHeight w:val="223"/>
        </w:trPr>
        <w:tc>
          <w:tcPr>
            <w:tcW w:w="9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ind w:left="500"/>
              <w:spacing w:after="0"/>
              <w:rPr>
                <w:sz w:val="20"/>
                <w:szCs w:val="20"/>
                <w:color w:val="auto"/>
              </w:rPr>
            </w:pPr>
            <w:r>
              <w:rPr>
                <w:rFonts w:ascii="Arial" w:cs="Arial" w:eastAsia="Arial" w:hAnsi="Arial"/>
                <w:sz w:val="18"/>
                <w:szCs w:val="18"/>
                <w:color w:val="auto"/>
              </w:rPr>
              <w:t>63.0</w:t>
            </w:r>
          </w:p>
        </w:tc>
      </w:tr>
      <w:tr>
        <w:trPr>
          <w:trHeight w:val="230"/>
        </w:trPr>
        <w:tc>
          <w:tcPr>
            <w:tcW w:w="9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Cash acquired</w:t>
            </w: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7"/>
              </w:rPr>
              <w:t>(3.0)</w:t>
            </w:r>
          </w:p>
        </w:tc>
      </w:tr>
      <w:tr>
        <w:trPr>
          <w:trHeight w:val="223"/>
        </w:trPr>
        <w:tc>
          <w:tcPr>
            <w:tcW w:w="9700" w:type="dxa"/>
            <w:vAlign w:val="bottom"/>
          </w:tcPr>
          <w:p>
            <w:pPr>
              <w:ind w:left="20"/>
              <w:spacing w:after="0"/>
              <w:rPr>
                <w:sz w:val="20"/>
                <w:szCs w:val="20"/>
                <w:color w:val="auto"/>
              </w:rPr>
            </w:pPr>
            <w:r>
              <w:rPr>
                <w:rFonts w:ascii="Arial" w:cs="Arial" w:eastAsia="Arial" w:hAnsi="Arial"/>
                <w:sz w:val="18"/>
                <w:szCs w:val="18"/>
                <w:color w:val="auto"/>
              </w:rPr>
              <w:t>Total consideration</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60.0</w:t>
            </w:r>
          </w:p>
        </w:tc>
      </w:tr>
      <w:tr>
        <w:trPr>
          <w:trHeight w:val="20"/>
        </w:trPr>
        <w:tc>
          <w:tcPr>
            <w:tcW w:w="9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85" w:name="page86"/>
    <w:bookmarkEnd w:id="85"/>
    <w:p>
      <w:pPr>
        <w:ind w:left="660"/>
        <w:spacing w:after="0"/>
        <w:rPr>
          <w:sz w:val="20"/>
          <w:szCs w:val="20"/>
          <w:color w:val="auto"/>
        </w:rPr>
      </w:pPr>
      <w:r>
        <w:rPr>
          <w:rFonts w:ascii="Arial" w:cs="Arial" w:eastAsia="Arial" w:hAnsi="Arial"/>
          <w:sz w:val="18"/>
          <w:szCs w:val="18"/>
          <w:b w:val="1"/>
          <w:bCs w:val="1"/>
          <w:u w:val="single" w:color="auto"/>
          <w:color w:val="auto"/>
        </w:rPr>
        <w:t>Pro Forma Financial Information (Unaudited)</w:t>
      </w:r>
    </w:p>
    <w:p>
      <w:pPr>
        <w:spacing w:after="0" w:line="256"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The following table summarizes the supplemental condensed consolidated statement of operations information on an unaudited pro forma basis as if the acquisition of FTT occurred on December 31, 2018 and includes adjustments that were directly attributable to the foregoing transactions. There are no material, nonrecurring pro forma adjustments directly attributable to the business combination included in the reported pro forma revenue and earnings. The pro forma results are for illustrative purposes only for the applicable period and do not purport to be indicative of the actual results that would have occurred had the transaction been completed as of the beginning of the period, nor are they indicative of results of operations that may occur in the future: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ind w:left="660"/>
              <w:spacing w:after="0"/>
              <w:rPr>
                <w:sz w:val="20"/>
                <w:szCs w:val="20"/>
                <w:color w:val="auto"/>
              </w:rPr>
            </w:pPr>
            <w:r>
              <w:rPr>
                <w:rFonts w:ascii="Arial" w:cs="Arial" w:eastAsia="Arial" w:hAnsi="Arial"/>
                <w:sz w:val="18"/>
                <w:szCs w:val="18"/>
                <w:color w:val="auto"/>
              </w:rPr>
              <w:t>For the year ended December 29, 2019 (all amounts, except per share amounts, are in millions):</w:t>
            </w:r>
          </w:p>
        </w:tc>
        <w:tc>
          <w:tcPr>
            <w:tcW w:w="16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48"/>
        </w:trPr>
        <w:tc>
          <w:tcPr>
            <w:tcW w:w="8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revenues</w:t>
            </w:r>
          </w:p>
        </w:tc>
        <w:tc>
          <w:tcPr>
            <w:tcW w:w="16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w:t>
            </w: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Pro forma net income before tax</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income</w:t>
            </w:r>
          </w:p>
        </w:tc>
        <w:tc>
          <w:tcPr>
            <w:tcW w:w="16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Pro forma net income attributable to Kratos</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0"/>
        </w:trPr>
        <w:tc>
          <w:tcPr>
            <w:tcW w:w="87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Basic pro forma income per share attributable to Kratos</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pro forma income per share attributable to Kratos</w:t>
            </w:r>
          </w:p>
        </w:tc>
        <w:tc>
          <w:tcPr>
            <w:tcW w:w="16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r>
    </w:tbl>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weighted average common shares used to calculate income per share also reflects the issuance of 1,825,406 shares of the Company’s common stock in conjunction with the acquisition.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Technical Directions, Inc.</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On February 24, 2020, the Company acquired Technical Directions, Inc.(“TDI”), a turbine technology company focused on tactical unmanned aerial drones, missile and other systems for approximately $10.5 million in cash, subject to adjustments for transaction expenses, indebtedness, cash on hand, and post-closing working capital adjustments. Working capital adjustments of $0.3 million were settled in the third quarter of 2020. The allocation of the total consideration for this acquisition to the tangible and identifiable intangible assets acquired and liabilities assumed is preliminary until the Company obtains final information regarding their fair values. However, the Company does not expect any adjustment to such allocations to be material to the Company's consolidated financial statements. The operating results of the acquisition have been included in the Company’s results of operations from the effective acquisition date. The amount of net sales and earnings of TDI included in the condensed consolidated statement of operations for the year ended December 27, 2020 are not material. Had the acquisition occurred as of December 29, 2019, net sales, net income from consolidated operations, net income attributable to Kratos, and basic and diluted net income per share attributable to Kratos on a pro forma basis for the year ended December 27, 2020 would not have been materially different than the reported amounts. TDI is included in the Kratos US segment.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Optimized Performance Machining, Inc.</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April 17, 2020, the Company acquired Optimized Performance Machining, Inc.(“OPM”), a company that primarily operates in the industrial machinery and equipment repair business industry for approximately $1.8 million in cash, subject to adjustments for transaction expenses, indebtedness, cash on hand, and post-closing working capital adjustments. Working capital adjustments of $0.03 million were settled in the third quarter of 2020. The allocation of the total consideration for this acquisition to the tangible and identifiable intangible assets acquired and liabilities assumed is preliminary until the Company obtains final information regarding their fair values. However, the Company does not expect any adjustment to such allocations to be material to the Company's unaudited condensed consolidated financial statements. The operating results of the acquisition have been included in the Company’s results of operations from the effective acquisition date. The amount of net sales and earnings of OPM included in the condensed consolidated statement of operations for the year ended December 27, 2020 are not material. Had the acquisition occurred as of December 29, 2019, net sales, net income from consolidated operations, net income attributable to Kratos, and basic and diluted net income per share attributable to Kratos on a pro forma basis for the year ended December 27, 2020 would not have been materially different than the reported amounts. OPM is included in the Kratos US segment.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6" w:name="page87"/>
    <w:bookmarkEnd w:id="86"/>
    <w:p>
      <w:pPr>
        <w:ind w:left="660"/>
        <w:spacing w:after="0"/>
        <w:rPr>
          <w:sz w:val="20"/>
          <w:szCs w:val="20"/>
          <w:color w:val="auto"/>
        </w:rPr>
      </w:pPr>
      <w:r>
        <w:rPr>
          <w:rFonts w:ascii="Arial" w:cs="Arial" w:eastAsia="Arial" w:hAnsi="Arial"/>
          <w:sz w:val="18"/>
          <w:szCs w:val="18"/>
          <w:b w:val="1"/>
          <w:bCs w:val="1"/>
          <w:i w:val="1"/>
          <w:iCs w:val="1"/>
          <w:color w:val="auto"/>
        </w:rPr>
        <w:t>CPI ASC Signal Division, Inc.</w:t>
      </w:r>
    </w:p>
    <w:p>
      <w:pPr>
        <w:spacing w:after="0" w:line="225" w:lineRule="exact"/>
        <w:rPr>
          <w:sz w:val="20"/>
          <w:szCs w:val="20"/>
          <w:color w:val="auto"/>
        </w:rPr>
      </w:pPr>
    </w:p>
    <w:p>
      <w:pPr>
        <w:ind w:right="260" w:firstLine="648"/>
        <w:spacing w:after="0" w:line="276" w:lineRule="auto"/>
        <w:rPr>
          <w:sz w:val="20"/>
          <w:szCs w:val="20"/>
          <w:color w:val="auto"/>
        </w:rPr>
      </w:pPr>
      <w:r>
        <w:rPr>
          <w:rFonts w:ascii="Arial" w:cs="Arial" w:eastAsia="Arial" w:hAnsi="Arial"/>
          <w:sz w:val="16"/>
          <w:szCs w:val="16"/>
          <w:color w:val="auto"/>
        </w:rPr>
        <w:t>On June 15, 2020, Kratos Integral Holdings, LLC entered into a Stock Purchase Agreement to acquire CPI ASC Signal Division, Inc. (“ASC Signal”) from Communications &amp; Power Industries LLC for approximately $35 million in cash, subject to adjustments for transaction expenses, indebtedness, cash on hand, and working capital adjustments. The adjustments for transaction expenses, indebtedness, cash on hand and working capital</w:t>
      </w:r>
    </w:p>
    <w:p>
      <w:pPr>
        <w:spacing w:after="0" w:line="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were settled by the parties in January 2021, resulting in a net payment due to the Company of approximately $1.4 million. ASC Signal is a manufacturer of high-performance, highly engineered antenna systems for satellite communications, radar, electronic warfare, and high frequency applications. On June 30, 2020, the acquisition was completed following the satisfaction of all closing conditions, including receipt of regulatory approval from all required government authorities. ASC Signal is included in the KSTC Division of the Company’s KGS segment.</w:t>
      </w:r>
    </w:p>
    <w:p>
      <w:pPr>
        <w:spacing w:after="0" w:line="193"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goodwill represents the value the Company expects to be created by integrating ASC Signal’s existing business with Kratos’ related products and customers.</w:t>
      </w:r>
    </w:p>
    <w:p>
      <w:pPr>
        <w:spacing w:after="0" w:line="211"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The transaction has been accounted for using the acquisition method of accounting, which requires, among other things, that the assets acquired and the liabilities assumed be recognized at their fair values as of the acquisition date. The fair value measurements are based primarily on significant inputs not observable in the marketplace and thus represent Level 3 measurements. The following table summarizes the preliminary allocation of the purchase price over the estimated fair values of the major assets acquired and liabilities assumed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8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Inventoried costs</w:t>
            </w:r>
          </w:p>
        </w:tc>
        <w:tc>
          <w:tcPr>
            <w:tcW w:w="8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8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8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8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8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3"/>
        </w:trPr>
        <w:tc>
          <w:tcPr>
            <w:tcW w:w="9260" w:type="dxa"/>
            <w:vAlign w:val="bottom"/>
          </w:tcPr>
          <w:p>
            <w:pPr>
              <w:ind w:left="120"/>
              <w:spacing w:after="0"/>
              <w:rPr>
                <w:sz w:val="20"/>
                <w:szCs w:val="20"/>
                <w:color w:val="auto"/>
              </w:rPr>
            </w:pPr>
            <w:r>
              <w:rPr>
                <w:rFonts w:ascii="Arial" w:cs="Arial" w:eastAsia="Arial" w:hAnsi="Arial"/>
                <w:sz w:val="18"/>
                <w:szCs w:val="18"/>
                <w:color w:val="auto"/>
              </w:rPr>
              <w:t>Total identifiable net assets acquired</w:t>
            </w:r>
          </w:p>
        </w:tc>
        <w:tc>
          <w:tcPr>
            <w:tcW w:w="8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liabilities assumed</w:t>
            </w:r>
          </w:p>
        </w:tc>
        <w:tc>
          <w:tcPr>
            <w:tcW w:w="8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3"/>
        </w:trPr>
        <w:tc>
          <w:tcPr>
            <w:tcW w:w="9260" w:type="dxa"/>
            <w:vAlign w:val="bottom"/>
          </w:tcPr>
          <w:p>
            <w:pPr>
              <w:ind w:left="120"/>
              <w:spacing w:after="0"/>
              <w:rPr>
                <w:sz w:val="20"/>
                <w:szCs w:val="20"/>
                <w:color w:val="auto"/>
              </w:rPr>
            </w:pPr>
            <w:r>
              <w:rPr>
                <w:rFonts w:ascii="Arial" w:cs="Arial" w:eastAsia="Arial" w:hAnsi="Arial"/>
                <w:sz w:val="18"/>
                <w:szCs w:val="18"/>
                <w:color w:val="auto"/>
              </w:rPr>
              <w:t>Net assets acquired, excluding cash</w:t>
            </w: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r>
      <w:tr>
        <w:trPr>
          <w:trHeight w:val="20"/>
        </w:trPr>
        <w:tc>
          <w:tcPr>
            <w:tcW w:w="9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400" w:firstLine="648"/>
        <w:spacing w:after="0" w:line="275" w:lineRule="auto"/>
        <w:rPr>
          <w:sz w:val="20"/>
          <w:szCs w:val="20"/>
          <w:color w:val="auto"/>
        </w:rPr>
      </w:pPr>
      <w:r>
        <w:rPr>
          <w:rFonts w:ascii="Arial" w:cs="Arial" w:eastAsia="Arial" w:hAnsi="Arial"/>
          <w:sz w:val="17"/>
          <w:szCs w:val="17"/>
          <w:color w:val="auto"/>
        </w:rPr>
        <w:t>Based on the Company’s preliminary estimate of fair value, as of June 30, 2020, net liabilities included $9.1 million of current liabilities. The identifiable intangible assets include trade names of $0.1 million with a remaining useful life of 1 year, customer relationships of $2.0 million with remaining useful lives of 5 years, and developed technology of $2.2 million with a remaining useful life of 7 years. The Company also established a deferred tax liability of $1.1 million for the difference between the financial statement basis and tax basis of the acquired assets of ASC Signal and a corresponding increase in goodwill. The goodwill recorded in this transaction is not expected to be tax-deductible.</w:t>
      </w:r>
    </w:p>
    <w:p>
      <w:pPr>
        <w:spacing w:after="0" w:line="203"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amounts of revenue and operating income of ASC Signal included in the Company's condensed consolidated statement of operations for the year ended December 27, 2020 were $21.9 million and $1.1 million, respectively. Included in Merger and acquisition expenses for the year ended December 27, 2020 were transaction expenses of $1.1 million, related to the acquisition of ASC Signal.</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40" w:type="dxa"/>
            <w:vAlign w:val="bottom"/>
          </w:tcPr>
          <w:p>
            <w:pPr>
              <w:ind w:left="660"/>
              <w:spacing w:after="0"/>
              <w:rPr>
                <w:sz w:val="20"/>
                <w:szCs w:val="20"/>
                <w:color w:val="auto"/>
              </w:rPr>
            </w:pPr>
            <w:r>
              <w:rPr>
                <w:rFonts w:ascii="Arial" w:cs="Arial" w:eastAsia="Arial" w:hAnsi="Arial"/>
                <w:sz w:val="18"/>
                <w:szCs w:val="18"/>
                <w:color w:val="auto"/>
              </w:rPr>
              <w:t>A summary of the consideration paid for the acquired ownership in ASC Signal is as follows:</w:t>
            </w: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9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3"/>
        </w:trPr>
        <w:tc>
          <w:tcPr>
            <w:tcW w:w="98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Cash paid</w:t>
            </w:r>
          </w:p>
        </w:tc>
        <w:tc>
          <w:tcPr>
            <w:tcW w:w="560" w:type="dxa"/>
            <w:vAlign w:val="bottom"/>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w:t>
            </w:r>
          </w:p>
        </w:tc>
      </w:tr>
      <w:tr>
        <w:trPr>
          <w:trHeight w:val="203"/>
        </w:trPr>
        <w:tc>
          <w:tcPr>
            <w:tcW w:w="98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Less: Cash acquired</w:t>
            </w: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21"/>
        </w:trPr>
        <w:tc>
          <w:tcPr>
            <w:tcW w:w="98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consideration</w:t>
            </w:r>
          </w:p>
        </w:tc>
        <w:tc>
          <w:tcPr>
            <w:tcW w:w="560" w:type="dxa"/>
            <w:vAlign w:val="bottom"/>
            <w:tcBorders>
              <w:bottom w:val="single" w:sz="8" w:color="auto"/>
            </w:tcBorders>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32.9</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Pro Forma Financial Information (Unaudited)</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following tables summarize the supplemental condensed consolidated statements of operations information on an unaudited pro forma basis as if the acquisition of ASC Signal occurred on December 30, 2019 and include adjustments that were directly attributable to the foregoing transactions. There are no material, nonrecurring pro forma adjustments directly attributable to the business combination included in the reported pro forma revenue and earnings (loss). The pro forma results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7" w:name="page88"/>
    <w:bookmarkEnd w:id="87"/>
    <w:p>
      <w:pPr>
        <w:ind w:right="660"/>
        <w:spacing w:after="0" w:line="342" w:lineRule="auto"/>
        <w:rPr>
          <w:sz w:val="20"/>
          <w:szCs w:val="20"/>
          <w:color w:val="auto"/>
        </w:rPr>
      </w:pPr>
      <w:r>
        <w:rPr>
          <w:rFonts w:ascii="Arial" w:cs="Arial" w:eastAsia="Arial" w:hAnsi="Arial"/>
          <w:sz w:val="16"/>
          <w:szCs w:val="16"/>
          <w:color w:val="auto"/>
        </w:rPr>
        <w:t>are for illustrative purposes only for the applicable period and do not purport to be indicative of the actual results that would have occurred had the transaction been completed as of the beginning of the period, nor are they indicative of results of operations that may occur in the future.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80" w:type="dxa"/>
            <w:vAlign w:val="bottom"/>
          </w:tcPr>
          <w:p>
            <w:pPr>
              <w:ind w:left="660"/>
              <w:spacing w:after="0"/>
              <w:rPr>
                <w:sz w:val="20"/>
                <w:szCs w:val="20"/>
                <w:color w:val="auto"/>
              </w:rPr>
            </w:pPr>
            <w:r>
              <w:rPr>
                <w:rFonts w:ascii="Arial" w:cs="Arial" w:eastAsia="Arial" w:hAnsi="Arial"/>
                <w:sz w:val="18"/>
                <w:szCs w:val="18"/>
                <w:color w:val="auto"/>
              </w:rPr>
              <w:t>For the year ended December 27, 2020 (all amounts, except per share amounts, are in millions):</w:t>
            </w:r>
          </w:p>
        </w:tc>
        <w:tc>
          <w:tcPr>
            <w:tcW w:w="16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8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03"/>
        </w:trPr>
        <w:tc>
          <w:tcPr>
            <w:tcW w:w="8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 forma revenues</w:t>
            </w:r>
          </w:p>
        </w:tc>
        <w:tc>
          <w:tcPr>
            <w:tcW w:w="16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766.0</w:t>
            </w:r>
          </w:p>
        </w:tc>
      </w:tr>
      <w:tr>
        <w:trPr>
          <w:trHeight w:val="203"/>
        </w:trPr>
        <w:tc>
          <w:tcPr>
            <w:tcW w:w="8780" w:type="dxa"/>
            <w:vAlign w:val="bottom"/>
          </w:tcPr>
          <w:p>
            <w:pPr>
              <w:ind w:left="20"/>
              <w:spacing w:after="0" w:line="202" w:lineRule="exact"/>
              <w:rPr>
                <w:sz w:val="20"/>
                <w:szCs w:val="20"/>
                <w:color w:val="auto"/>
              </w:rPr>
            </w:pPr>
            <w:r>
              <w:rPr>
                <w:rFonts w:ascii="Arial" w:cs="Arial" w:eastAsia="Arial" w:hAnsi="Arial"/>
                <w:sz w:val="18"/>
                <w:szCs w:val="18"/>
                <w:color w:val="auto"/>
              </w:rPr>
              <w:t>Pro forma net income before tax</w:t>
            </w:r>
          </w:p>
        </w:tc>
        <w:tc>
          <w:tcPr>
            <w:tcW w:w="16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03"/>
        </w:trPr>
        <w:tc>
          <w:tcPr>
            <w:tcW w:w="8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 forma net loss</w:t>
            </w:r>
          </w:p>
        </w:tc>
        <w:tc>
          <w:tcPr>
            <w:tcW w:w="16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70"/>
        </w:trPr>
        <w:tc>
          <w:tcPr>
            <w:tcW w:w="87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03"/>
        </w:trPr>
        <w:tc>
          <w:tcPr>
            <w:tcW w:w="8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Basic pro forma loss per share</w:t>
            </w:r>
          </w:p>
        </w:tc>
        <w:tc>
          <w:tcPr>
            <w:tcW w:w="16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r>
      <w:tr>
        <w:trPr>
          <w:trHeight w:val="230"/>
        </w:trPr>
        <w:tc>
          <w:tcPr>
            <w:tcW w:w="8780" w:type="dxa"/>
            <w:vAlign w:val="bottom"/>
          </w:tcPr>
          <w:p>
            <w:pPr>
              <w:ind w:left="20"/>
              <w:spacing w:after="0"/>
              <w:rPr>
                <w:sz w:val="20"/>
                <w:szCs w:val="20"/>
                <w:color w:val="auto"/>
              </w:rPr>
            </w:pPr>
            <w:r>
              <w:rPr>
                <w:rFonts w:ascii="Arial" w:cs="Arial" w:eastAsia="Arial" w:hAnsi="Arial"/>
                <w:sz w:val="18"/>
                <w:szCs w:val="18"/>
                <w:color w:val="auto"/>
              </w:rPr>
              <w:t>Diluted pro forma loss per share</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r>
    </w:tbl>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5-D Systems, Inc.</w:t>
      </w:r>
    </w:p>
    <w:p>
      <w:pPr>
        <w:spacing w:after="0" w:line="225"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On November 18, 2020, the Company acquired 5-D Systems, Inc. (“5-D Systems”), a leading National Security Solutions provider and industry-leading provider of high-performance, jet-powered unmanned aerial systems for an aggregate of approximately $10.0 million. The purchase price was $5.0 million in cash, subject to adjustments for transaction expenses, indebtedness, cash on hand, and post-closing working capital adjustments, and 250,374 shares of common stock (with a value of approximately $5.0 million). The allocation of the total consideration for this acquisition to the tangible and identifiable intangible assets acquired and liabilities assumed is preliminary until the Company obtains final information regarding their fair values. However, the Company does not expect any adjustment to such allocations to be material to the Company's consolidated financial statements. The operating results of the acquisition have been included in the Company’s results of operations from the effective acquisition date. The amount of net sales and earnings of 5-D Systems included in the condensed consolidated statement of operations for the year ended December 27, 2020 are not material. Had the acquisition occurred as of December 29, 2019, net sales, net income from consolidated operations, net income attributable to Kratos, and basic and diluted net income per share attributable to Kratos on a pro forma basis for the year ended December 27, 2020 would not have been materially different than the reported amounts. 5-D Systems is included in the Kratos US segment.</w:t>
      </w:r>
    </w:p>
    <w:p>
      <w:pPr>
        <w:spacing w:after="0" w:line="200" w:lineRule="exact"/>
        <w:rPr>
          <w:sz w:val="20"/>
          <w:szCs w:val="20"/>
          <w:color w:val="auto"/>
        </w:rPr>
      </w:pPr>
    </w:p>
    <w:p>
      <w:pPr>
        <w:spacing w:after="0" w:line="23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Goodwill and Other Intangible Assets</w:t>
      </w:r>
    </w:p>
    <w:p>
      <w:pPr>
        <w:spacing w:after="0" w:line="225" w:lineRule="exact"/>
        <w:rPr>
          <w:sz w:val="20"/>
          <w:szCs w:val="20"/>
          <w:color w:val="auto"/>
        </w:rPr>
      </w:pPr>
    </w:p>
    <w:p>
      <w:pPr>
        <w:ind w:left="400" w:hanging="392"/>
        <w:spacing w:after="0"/>
        <w:tabs>
          <w:tab w:leader="none" w:pos="4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 xml:space="preserve">The Company performs its annual impairment test for goodwill in accordance with </w:t>
      </w:r>
      <w:r>
        <w:rPr>
          <w:rFonts w:ascii="Arial" w:cs="Arial" w:eastAsia="Arial" w:hAnsi="Arial"/>
          <w:sz w:val="18"/>
          <w:szCs w:val="18"/>
          <w:i w:val="1"/>
          <w:iCs w:val="1"/>
          <w:color w:val="auto"/>
        </w:rPr>
        <w:t>Topic 350</w:t>
      </w:r>
      <w:r>
        <w:rPr>
          <w:rFonts w:ascii="Arial" w:cs="Arial" w:eastAsia="Arial" w:hAnsi="Arial"/>
          <w:sz w:val="18"/>
          <w:szCs w:val="18"/>
          <w:color w:val="auto"/>
        </w:rPr>
        <w:t xml:space="preserve"> as of the last day of its fiscal October or when evidence of potential impairment exists.</w:t>
      </w:r>
    </w:p>
    <w:p>
      <w:pPr>
        <w:spacing w:after="0" w:line="19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Company assesses goodwill for impairment at the reporting unit level, which is defined as an operating segment or one level below an operating segment, referred to as a component. The Company determines its reporting units by first identifying its operating segments, and then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w:t>
      </w:r>
    </w:p>
    <w:p>
      <w:pPr>
        <w:spacing w:after="0" w:line="215"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The KGS reportable segment has five operating businesses: Defense Rocket Support Services (“DRSS”), Microwave Electronics (“ME”), Space, Training and Cybersecurity Solutions (ST&amp;C), C5ISR/Modular Systems (“MS”), and Kratos Turbine Technologies (“KTT”). All of the KGS operating segments provide technology based defense solutions, involving products and services, primarily for mission critical U.S. national security priorities, with the primary focus relating to the nation’s Command, Control, Communications, Computing, Combat Systems, Intelligence, Surveillance and Reconnaissance requirements. The US reportable segment consists of its unmanned aerial system, unmanned ground, and unmanned seaborne system products.</w:t>
      </w:r>
    </w:p>
    <w:p>
      <w:pPr>
        <w:spacing w:after="0" w:line="216" w:lineRule="exact"/>
        <w:rPr>
          <w:sz w:val="20"/>
          <w:szCs w:val="20"/>
          <w:color w:val="auto"/>
        </w:rPr>
      </w:pPr>
    </w:p>
    <w:p>
      <w:pPr>
        <w:ind w:right="20" w:firstLine="648"/>
        <w:spacing w:after="0" w:line="257" w:lineRule="auto"/>
        <w:rPr>
          <w:sz w:val="20"/>
          <w:szCs w:val="20"/>
          <w:color w:val="auto"/>
        </w:rPr>
      </w:pPr>
      <w:r>
        <w:rPr>
          <w:rFonts w:ascii="Arial" w:cs="Arial" w:eastAsia="Arial" w:hAnsi="Arial"/>
          <w:sz w:val="17"/>
          <w:szCs w:val="17"/>
          <w:color w:val="auto"/>
        </w:rPr>
        <w:t>The Company identified its reporting units to be the DRSS, ME, ST&amp;C, MS, KTT and US operating segments. The Company tests goodwill for impairment by first performing a qualitative assessment. If, based on its qualitative assessment management determines it is not more likely than not that the fair value of the reporting unit exceeds its carrying value, a quantitative assessment is then performed. For operations where a quantitative assessment is performed, the identification and measurement of impairment involves the estimation of the fair value of reporting units. If the fair value is determined to be less than the carrying value, a charge to operations is recorded for the amount that the carrying value exceeds fair value. As part of its quantitative assessment, the Company estimates the fair value of each of the reporting units based on a comparison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8" w:name="page89"/>
    <w:bookmarkEnd w:id="88"/>
    <w:p>
      <w:pPr>
        <w:ind w:right="200"/>
        <w:spacing w:after="0" w:line="248" w:lineRule="auto"/>
        <w:rPr>
          <w:sz w:val="20"/>
          <w:szCs w:val="20"/>
          <w:color w:val="auto"/>
        </w:rPr>
      </w:pPr>
      <w:r>
        <w:rPr>
          <w:rFonts w:ascii="Arial" w:cs="Arial" w:eastAsia="Arial" w:hAnsi="Arial"/>
          <w:sz w:val="18"/>
          <w:szCs w:val="18"/>
          <w:color w:val="auto"/>
        </w:rPr>
        <w:t>weighting of the income approach, specifically the discounted cash flow method and the market approach, which estimates the fair value of the reporting units based upon comparable market prices and recent transactions and also validates the reasonableness of the implied multiples from the income approach.</w:t>
      </w:r>
    </w:p>
    <w:p>
      <w:pPr>
        <w:spacing w:after="0" w:line="209" w:lineRule="exact"/>
        <w:rPr>
          <w:sz w:val="20"/>
          <w:szCs w:val="20"/>
          <w:color w:val="auto"/>
        </w:rPr>
      </w:pPr>
    </w:p>
    <w:p>
      <w:pPr>
        <w:ind w:right="320" w:firstLine="648"/>
        <w:spacing w:after="0" w:line="248" w:lineRule="auto"/>
        <w:rPr>
          <w:sz w:val="20"/>
          <w:szCs w:val="20"/>
          <w:color w:val="auto"/>
        </w:rPr>
      </w:pPr>
      <w:r>
        <w:rPr>
          <w:rFonts w:ascii="Arial" w:cs="Arial" w:eastAsia="Arial" w:hAnsi="Arial"/>
          <w:sz w:val="18"/>
          <w:szCs w:val="18"/>
          <w:color w:val="auto"/>
        </w:rPr>
        <w:t>In determining the fair value for the reporting units, where a quantitative assessment is performed, there are key assumptions relating to future expected cash flows, terminal growth rates, appropriate discount rates, market multiples, and the control premium a controlling shareholder could be expected to pay.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goodwill as of December 27, 2020 and December 29, 2019 by reportable segment are as follows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0"/>
              </w:rPr>
              <w:t>As of December 27, 2020</w:t>
            </w: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4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US</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8"/>
              </w:rPr>
              <w:t>KGS</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r>
      <w:tr>
        <w:trPr>
          <w:trHeight w:val="224"/>
        </w:trPr>
        <w:tc>
          <w:tcPr>
            <w:tcW w:w="7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value</w:t>
            </w:r>
          </w:p>
        </w:tc>
        <w:tc>
          <w:tcPr>
            <w:tcW w:w="800" w:type="dxa"/>
            <w:vAlign w:val="bottom"/>
            <w:tcBorders>
              <w:top w:val="single" w:sz="8" w:color="auto"/>
            </w:tcBorders>
            <w:gridSpan w:val="2"/>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127.6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609.6</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20" w:type="dxa"/>
            <w:vAlign w:val="bottom"/>
          </w:tcPr>
          <w:p>
            <w:pPr>
              <w:spacing w:after="0"/>
              <w:rPr>
                <w:sz w:val="19"/>
                <w:szCs w:val="19"/>
                <w:color w:val="auto"/>
              </w:rPr>
            </w:pPr>
          </w:p>
        </w:tc>
      </w:tr>
      <w:tr>
        <w:trPr>
          <w:trHeight w:val="230"/>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impairment</w:t>
            </w:r>
          </w:p>
        </w:tc>
        <w:tc>
          <w:tcPr>
            <w:tcW w:w="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w:t>
            </w:r>
          </w:p>
        </w:tc>
        <w:tc>
          <w:tcPr>
            <w:tcW w:w="20" w:type="dxa"/>
            <w:vAlign w:val="bottom"/>
          </w:tcPr>
          <w:p>
            <w:pPr>
              <w:spacing w:after="0"/>
              <w:rPr>
                <w:sz w:val="19"/>
                <w:szCs w:val="19"/>
                <w:color w:val="auto"/>
              </w:rPr>
            </w:pPr>
          </w:p>
        </w:tc>
      </w:tr>
      <w:tr>
        <w:trPr>
          <w:trHeight w:val="24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800" w:type="dxa"/>
            <w:vAlign w:val="bottom"/>
            <w:gridSpan w:val="2"/>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113.8</w:t>
            </w:r>
          </w:p>
        </w:tc>
        <w:tc>
          <w:tcPr>
            <w:tcW w:w="42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20" w:type="dxa"/>
            <w:vAlign w:val="bottom"/>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1"/>
        </w:trPr>
        <w:tc>
          <w:tcPr>
            <w:tcW w:w="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As of December 29, 2019</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87"/>
        </w:trPr>
        <w:tc>
          <w:tcPr>
            <w:tcW w:w="4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US</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8"/>
              </w:rPr>
              <w:t>KGS</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395"/>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r>
      <w:tr>
        <w:trPr>
          <w:trHeight w:val="224"/>
        </w:trPr>
        <w:tc>
          <w:tcPr>
            <w:tcW w:w="40" w:type="dxa"/>
            <w:vAlign w:val="bottom"/>
          </w:tcPr>
          <w:p>
            <w:pPr>
              <w:spacing w:after="0"/>
              <w:rPr>
                <w:sz w:val="19"/>
                <w:szCs w:val="19"/>
                <w:color w:val="auto"/>
              </w:rPr>
            </w:pPr>
          </w:p>
        </w:tc>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value</w:t>
            </w:r>
          </w:p>
        </w:tc>
        <w:tc>
          <w:tcPr>
            <w:tcW w:w="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111.1</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gridSpan w:val="2"/>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597.8</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impairment</w:t>
            </w:r>
          </w:p>
        </w:tc>
        <w:tc>
          <w:tcPr>
            <w:tcW w:w="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w:t>
            </w:r>
          </w:p>
        </w:tc>
        <w:tc>
          <w:tcPr>
            <w:tcW w:w="20" w:type="dxa"/>
            <w:vAlign w:val="bottom"/>
            <w:tcBorders>
              <w:bottom w:val="single" w:sz="8" w:color="auto"/>
            </w:tcBorders>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42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w:t>
            </w:r>
          </w:p>
        </w:tc>
        <w:tc>
          <w:tcPr>
            <w:tcW w:w="20" w:type="dxa"/>
            <w:vAlign w:val="bottom"/>
            <w:shd w:val="clear" w:color="auto" w:fill="CCEEFF"/>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Purchased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acquired finite-lived and indefinite-lived intangible assets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center"/>
              <w:ind w:left="535"/>
              <w:spacing w:after="0"/>
              <w:rPr>
                <w:sz w:val="20"/>
                <w:szCs w:val="20"/>
                <w:color w:val="auto"/>
              </w:rPr>
            </w:pPr>
            <w:r>
              <w:rPr>
                <w:rFonts w:ascii="Arial" w:cs="Arial" w:eastAsia="Arial" w:hAnsi="Arial"/>
                <w:sz w:val="14"/>
                <w:szCs w:val="14"/>
                <w:b w:val="1"/>
                <w:bCs w:val="1"/>
                <w:color w:val="auto"/>
                <w:w w:val="90"/>
              </w:rPr>
              <w:t>As of December 27, 2020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center"/>
              <w:ind w:left="535"/>
              <w:spacing w:after="0"/>
              <w:rPr>
                <w:sz w:val="20"/>
                <w:szCs w:val="20"/>
                <w:color w:val="auto"/>
              </w:rPr>
            </w:pPr>
            <w:r>
              <w:rPr>
                <w:rFonts w:ascii="Arial" w:cs="Arial" w:eastAsia="Arial" w:hAnsi="Arial"/>
                <w:sz w:val="14"/>
                <w:szCs w:val="14"/>
                <w:b w:val="1"/>
                <w:bCs w:val="1"/>
                <w:color w:val="auto"/>
                <w:w w:val="90"/>
              </w:rPr>
              <w:t>As of December 29, 2019</w:t>
            </w:r>
          </w:p>
        </w:tc>
        <w:tc>
          <w:tcPr>
            <w:tcW w:w="860" w:type="dxa"/>
            <w:vAlign w:val="bottom"/>
            <w:tcBorders>
              <w:bottom w:val="single" w:sz="8" w:color="auto"/>
            </w:tcBorders>
          </w:tcPr>
          <w:p>
            <w:pPr>
              <w:spacing w:after="0"/>
              <w:rPr>
                <w:sz w:val="16"/>
                <w:szCs w:val="16"/>
                <w:color w:val="auto"/>
              </w:rPr>
            </w:pPr>
          </w:p>
        </w:tc>
      </w:tr>
      <w:tr>
        <w:trPr>
          <w:trHeight w:val="135"/>
        </w:trPr>
        <w:tc>
          <w:tcPr>
            <w:tcW w:w="3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1"/>
                <w:szCs w:val="11"/>
                <w:color w:val="auto"/>
              </w:rPr>
            </w:pPr>
          </w:p>
        </w:tc>
        <w:tc>
          <w:tcPr>
            <w:tcW w:w="860" w:type="dxa"/>
            <w:vAlign w:val="bottom"/>
          </w:tcPr>
          <w:p>
            <w:pPr>
              <w:jc w:val="center"/>
              <w:ind w:right="154"/>
              <w:spacing w:after="0" w:line="135"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1"/>
                <w:szCs w:val="11"/>
                <w:color w:val="auto"/>
              </w:rPr>
            </w:pPr>
          </w:p>
        </w:tc>
        <w:tc>
          <w:tcPr>
            <w:tcW w:w="860" w:type="dxa"/>
            <w:vAlign w:val="bottom"/>
          </w:tcPr>
          <w:p>
            <w:pPr>
              <w:jc w:val="right"/>
              <w:ind w:right="354"/>
              <w:spacing w:after="0" w:line="135" w:lineRule="exact"/>
              <w:rPr>
                <w:sz w:val="20"/>
                <w:szCs w:val="20"/>
                <w:color w:val="auto"/>
              </w:rPr>
            </w:pPr>
            <w:r>
              <w:rPr>
                <w:rFonts w:ascii="Arial" w:cs="Arial" w:eastAsia="Arial" w:hAnsi="Arial"/>
                <w:sz w:val="14"/>
                <w:szCs w:val="14"/>
                <w:b w:val="1"/>
                <w:bCs w:val="1"/>
                <w:color w:val="auto"/>
              </w:rPr>
              <w:t>Net</w:t>
            </w:r>
          </w:p>
        </w:tc>
      </w:tr>
      <w:tr>
        <w:trPr>
          <w:trHeight w:val="188"/>
        </w:trPr>
        <w:tc>
          <w:tcPr>
            <w:tcW w:w="3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b w:val="1"/>
                <w:bCs w:val="1"/>
                <w:color w:val="auto"/>
              </w:rPr>
              <w:t>Value</w:t>
            </w:r>
          </w:p>
        </w:tc>
      </w:tr>
      <w:tr>
        <w:trPr>
          <w:trHeight w:val="211"/>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finite-lived intangible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30"/>
        </w:trPr>
        <w:tc>
          <w:tcPr>
            <w:tcW w:w="386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Contracts and backlog</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3860" w:type="dxa"/>
            <w:vAlign w:val="bottom"/>
          </w:tcPr>
          <w:p>
            <w:pPr>
              <w:ind w:left="140"/>
              <w:spacing w:after="0"/>
              <w:rPr>
                <w:sz w:val="20"/>
                <w:szCs w:val="20"/>
                <w:color w:val="auto"/>
              </w:rPr>
            </w:pPr>
            <w:r>
              <w:rPr>
                <w:rFonts w:ascii="Arial" w:cs="Arial" w:eastAsia="Arial" w:hAnsi="Arial"/>
                <w:sz w:val="18"/>
                <w:szCs w:val="18"/>
                <w:color w:val="auto"/>
                <w:w w:val="98"/>
              </w:rPr>
              <w:t>Developed technology and technical know-how</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names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3860" w:type="dxa"/>
            <w:vAlign w:val="bottom"/>
          </w:tcPr>
          <w:p>
            <w:pPr>
              <w:ind w:left="140"/>
              <w:spacing w:after="0"/>
              <w:rPr>
                <w:sz w:val="20"/>
                <w:szCs w:val="20"/>
                <w:color w:val="auto"/>
              </w:rPr>
            </w:pPr>
            <w:r>
              <w:rPr>
                <w:rFonts w:ascii="Arial" w:cs="Arial" w:eastAsia="Arial" w:hAnsi="Arial"/>
                <w:sz w:val="18"/>
                <w:szCs w:val="18"/>
                <w:color w:val="auto"/>
              </w:rPr>
              <w:t>In-process research and development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finite-lived intangible assets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Indefinite-lived trade names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48"/>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The aggregate amortization expense for finite-lived intangible assets was $6.8 million, $7.4 million and $5.9 million, for the years ended December 27, 2020, December 29, 2019, and December 30, 2018, respectively. The Company records all amortization expense 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89" w:name="page90"/>
    <w:bookmarkEnd w:id="89"/>
    <w:p>
      <w:pPr>
        <w:ind w:left="660"/>
        <w:spacing w:after="0"/>
        <w:rPr>
          <w:sz w:val="20"/>
          <w:szCs w:val="20"/>
          <w:color w:val="auto"/>
        </w:rPr>
      </w:pPr>
      <w:r>
        <w:rPr>
          <w:rFonts w:ascii="Arial" w:cs="Arial" w:eastAsia="Arial" w:hAnsi="Arial"/>
          <w:sz w:val="17"/>
          <w:szCs w:val="17"/>
          <w:color w:val="auto"/>
        </w:rPr>
        <w:t>The estimated future amortization expense of acquired intangible assets with finite lives as of December 27, 2020 is as follows (in millions):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Amount</w:t>
            </w: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48"/>
        </w:trPr>
        <w:tc>
          <w:tcPr>
            <w:tcW w:w="9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Balance Sheet Details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detail of certain assets in the consolidated balance sheets consists of the following: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52"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The Company’s cash equivalents consist of overnight cash sweep accounts that are invested on a daily basis. Cash and cash equivalents at December 27, 2020 and December 29, 2019 were $380.8 million and $172.6 million, respectively, and approximated their fair value.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 and Unbilled receivables, net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Receivables including amounts due under long-term contracts are summarized as follows </w:t>
      </w:r>
      <w:r>
        <w:rPr>
          <w:rFonts w:ascii="Arial" w:cs="Arial" w:eastAsia="Arial" w:hAnsi="Arial"/>
          <w:sz w:val="18"/>
          <w:szCs w:val="18"/>
          <w:i w:val="1"/>
          <w:iCs w:val="1"/>
          <w:color w:val="auto"/>
        </w:rPr>
        <w:t>(in millions)</w:t>
      </w:r>
      <w:r>
        <w:rPr>
          <w:rFonts w:ascii="Arial" w:cs="Arial" w:eastAsia="Arial" w:hAnsi="Arial"/>
          <w:sz w:val="18"/>
          <w:szCs w:val="18"/>
          <w:color w:val="auto"/>
        </w:rPr>
        <w:t>:</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27, 2020</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29, 2019</w:t>
            </w:r>
          </w:p>
        </w:tc>
      </w:tr>
      <w:tr>
        <w:trPr>
          <w:trHeight w:val="229"/>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Billed, current</w:t>
            </w: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29"/>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Unbilled, current</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r>
      <w:tr>
        <w:trPr>
          <w:trHeight w:val="223"/>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accounts receivable</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r>
      <w:tr>
        <w:trPr>
          <w:trHeight w:val="229"/>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 for doubtful accounts</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48"/>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receivable and unbilled receivables, net</w:t>
            </w: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Substantially all accounts receivable at December 27, 2020, are expected to be collected in 2021. The Company does not believe it has significant exposure to credit risk, as accounts receivable and the related unbilled amounts are primarily from contracts associated with the U.S. Government.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Government contract receivables where the Company is the prime contractor included in accounts receivable, net (in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27,</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December 29, 2019</w:t>
            </w:r>
          </w:p>
        </w:tc>
        <w:tc>
          <w:tcPr>
            <w:tcW w:w="0" w:type="dxa"/>
            <w:vAlign w:val="bottom"/>
          </w:tcPr>
          <w:p>
            <w:pPr>
              <w:spacing w:after="0"/>
              <w:rPr>
                <w:sz w:val="1"/>
                <w:szCs w:val="1"/>
                <w:color w:val="auto"/>
              </w:rPr>
            </w:pPr>
          </w:p>
        </w:tc>
      </w:tr>
      <w:tr>
        <w:trPr>
          <w:trHeight w:val="188"/>
        </w:trPr>
        <w:tc>
          <w:tcPr>
            <w:tcW w:w="86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Billed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Unbilled</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U.S. Government contract receivables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i w:val="1"/>
          <w:iCs w:val="1"/>
          <w:color w:val="auto"/>
        </w:rPr>
        <w:t>Inventoried costs (in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December 27,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92"/>
              <w:spacing w:after="0"/>
              <w:rPr>
                <w:sz w:val="20"/>
                <w:szCs w:val="20"/>
                <w:color w:val="auto"/>
              </w:rPr>
            </w:pPr>
            <w:r>
              <w:rPr>
                <w:rFonts w:ascii="Arial" w:cs="Arial" w:eastAsia="Arial" w:hAnsi="Arial"/>
                <w:sz w:val="14"/>
                <w:szCs w:val="14"/>
                <w:b w:val="1"/>
                <w:bCs w:val="1"/>
                <w:color w:val="auto"/>
                <w:w w:val="92"/>
              </w:rPr>
              <w:t>December 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tcPr>
          <w:p>
            <w:pPr>
              <w:spacing w:after="0"/>
              <w:rPr>
                <w:sz w:val="16"/>
                <w:szCs w:val="16"/>
                <w:color w:val="auto"/>
              </w:rPr>
            </w:pPr>
          </w:p>
        </w:tc>
        <w:tc>
          <w:tcPr>
            <w:tcW w:w="84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inventoried costs</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4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Property, plant and equipment, net (in millions)</w:t>
            </w: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84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December 27, 2020</w:t>
            </w:r>
          </w:p>
        </w:tc>
        <w:tc>
          <w:tcPr>
            <w:tcW w:w="2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29, 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 right of use assets</w:t>
            </w: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Land and buildings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office equipment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243.1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Depreciation expense was $17.8 million, $16.0 million and $12.0 million for the years ended December 27, 2020, December 29, 2019, and December 30, 2018, respectively.</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Debt</w:t>
      </w:r>
    </w:p>
    <w:p>
      <w:pPr>
        <w:spacing w:after="0" w:line="225" w:lineRule="exact"/>
        <w:rPr>
          <w:sz w:val="20"/>
          <w:szCs w:val="20"/>
          <w:color w:val="auto"/>
        </w:rPr>
      </w:pPr>
    </w:p>
    <w:p>
      <w:pPr>
        <w:ind w:left="400" w:hanging="392"/>
        <w:spacing w:after="0"/>
        <w:tabs>
          <w:tab w:leader="none" w:pos="4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6.5% Senior Secured Notes due 2025</w:t>
      </w:r>
    </w:p>
    <w:p>
      <w:pPr>
        <w:spacing w:after="0" w:line="25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November 2017, the Company issued and sold $300 million aggregate principal amount of 6.5% Senior Secured Notes due 2025 (the “6.5% Notes”) in a private placement conducted pursuant to Rule 144A and Regulation S under the Securities Act of 1933, as amended (the “Act”). The Company incurred debt issuance costs of $6.6 million associated with the 6.5% Notes. The Company utilized the net proceeds from the sale of the 6.5% Notes, as well as cash from an equity offering to extinguish the previously outstanding 7.00% Senior Secured Notes due 2019 (the “7% Notes”). The total reacquisition price of the 7% Notes was $385.2 million, including a $12.0 million call premium, and $0.3 million of accrued interest.</w:t>
      </w:r>
    </w:p>
    <w:p>
      <w:pPr>
        <w:spacing w:after="0" w:line="2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6.5% Notes are governed by the Indenture, dated as of November 20, 2017 (the “Indenture”), among the Company, the Company’s existing and future domestic subsidiaries parties thereto (the “Subsidiary Guarantors”) and Wilmington Trust, National Association, as trustee and collateral agent (in such capacity, the “2017 Trustee and Collateral Agent”). A Subsidiary Guarantor can be released from its guarantee if (a) all of the capital stock issued by such Subsidiary Guarantor or all or substantially all of the assets of such Subsidiary Guarantor are sold or otherwise disposed of; (b) the Company designates such Subsidiary Guarantor as an Unrestricted Subsidiary; (c) the Company exercises its legal defeasance option or its covenant defeasance option; or (d) upon satisfaction and discharge of the Indenture or payment in full in cash of the principal of, premium, if any, and accrued and unpaid interest on the 6.5% Notes.</w:t>
      </w:r>
    </w:p>
    <w:p>
      <w:pPr>
        <w:spacing w:after="0" w:line="22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2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6.5% Notes and the guarantees (as set forth in the Indenture, the “Guarantees”) are the Company’s senior secured obligations and are equal in right of payment with all other senior obligations of the Subsidiary Guarantors’ existing and future secured debt to the extent of the assets securing that secured debt. The Company’s obligations under the 6.5% Notes are secured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1" w:name="page92"/>
    <w:bookmarkEnd w:id="91"/>
    <w:p>
      <w:pPr>
        <w:jc w:val="both"/>
        <w:spacing w:after="0" w:line="286" w:lineRule="auto"/>
        <w:rPr>
          <w:sz w:val="20"/>
          <w:szCs w:val="20"/>
          <w:color w:val="auto"/>
        </w:rPr>
      </w:pPr>
      <w:r>
        <w:rPr>
          <w:rFonts w:ascii="Arial" w:cs="Arial" w:eastAsia="Arial" w:hAnsi="Arial"/>
          <w:sz w:val="17"/>
          <w:szCs w:val="17"/>
          <w:color w:val="auto"/>
        </w:rPr>
        <w:t>by a first priority lien on substantially all of the Company’s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the Company’s obligations under the Credit Agreement.</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6.5% Notes are redeemable, in whole or in part, at the respective redemption prices specified in the Indenture. The Company may also be required to make an offer to purchase the 6.5% Notes upon a change of control and certain sales of its assets.</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Indenture contains covenants limiting, among other things, the Company’s ability and the Subsidiary Guarantors’ ability to: (a) pay dividends on or make distributions or repurchase or redeem the Company’s capital stock or make other restricted payments; (b) incur additional debt and guarantee debt; (c) prepay, redeem or repurchase certain debt; (d) issue certain preferred stock or similar equity securities; (e) make loans and investments; (f) sell assets; (g) incur liens; (h) consolidate, merge, sell or otherwise dispose of all or substantially all of the Company’s assets; (i) enter into transactions with affiliates; and (j) enter into agreements restricting the Company’s ability and certain of its subsidiaries’ ability to pay dividends. These covenants are subject to a number of exceptions. As of December 27, 2020, the Company was in compliance with the covenants contained in the Indenture governing the 6.5% Notes.</w:t>
      </w:r>
    </w:p>
    <w:p>
      <w:pPr>
        <w:spacing w:after="0" w:line="22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terms of the Indenture require that the net cash proceeds from asset dispositions be either utilized to (i) repay or prepay amounts outstanding under the Credit Agreement unless such amounts are reinvested in similar collateral, (ii) permanently reduce other indebtedness, (iii) make an investment in assets that replace the collateral of the 6.5% Notes or (iii) a combination of (i), (ii) and (iii). To the extent there are any remaining net proceeds from the asset disposition after application of (i), (ii) and (iii), such amounts are required to be utilized to repurchase 6.5% Notes at par.</w:t>
      </w:r>
    </w:p>
    <w:p>
      <w:pPr>
        <w:spacing w:after="0" w:line="18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Indenture also provides for events of default which, if any of them occurs, would permit or require the principal, premium, if any, interest, if any, and any other monetary obligations on all the then-outstanding 6.5% Notes to become or to be declared due and payable immediately.</w:t>
      </w:r>
    </w:p>
    <w:p>
      <w:pPr>
        <w:spacing w:after="0" w:line="16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and Security Agreement</w:t>
      </w:r>
    </w:p>
    <w:p>
      <w:pPr>
        <w:spacing w:after="0" w:line="25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On November 20, 2017, the Company entered into an Amended and Restated Credit and Security Agreement (as amended, the “Credit Agreement”) with the lenders named therein, SunTrust Bank, as Agent (the “Agent”), and SunTrust Robinson Humphrey, Inc., as Lead Arranger and Sole Book Runner. The Credit Agreement establishes a five year senior secured revolving credit facility in the aggregate principal amount of $90.0 million (subject to a potential increase of the aggregate principal amount to $115.0 million, subject to SunTrust’s and applicable lenders’ approval), consisting of a subline for letters of credit in an amount not to exceed $50.0 million, as well as a swingline loan in an aggregate principal amount at any time outstanding not to exceed $10.0 million.</w:t>
      </w:r>
    </w:p>
    <w:p>
      <w:pPr>
        <w:spacing w:after="0" w:line="21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Borrowings under the revolving credit facility may take the form of a base rate revolving loan, Eurodollar revolving loan or swingline loan. Base rate revolving loans and swingline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LIBOR Rate (as defined in the Credit Agreement) determined at such time for an interest period of one month, plus 1.00% per annum. Eurodollar revolving loans will bear interest a rate per annum equal to the sum of the Applicable Margin from time to time in effect plus the Adjusted LIBOR Rate. The Applicable Margin varies between 1.00%-1.50% for base rate revolving loans and swingline loans and 2.00%-2.50%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amounts due and owing under billed and unbilled accounts receivables, then held eligible raw materials inventory, work-in-process inventory, and applicable reserves</w:t>
      </w:r>
      <w:r>
        <w:rPr>
          <w:rFonts w:ascii="Arial" w:cs="Arial" w:eastAsia="Arial" w:hAnsi="Arial"/>
          <w:sz w:val="17"/>
          <w:szCs w:val="17"/>
          <w:b w:val="1"/>
          <w:bCs w:val="1"/>
          <w:i w:val="1"/>
          <w:iCs w:val="1"/>
          <w:color w:val="auto"/>
        </w:rPr>
        <w:t>.</w:t>
      </w:r>
    </w:p>
    <w:p>
      <w:pPr>
        <w:spacing w:after="0" w:line="212"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The measurement of a minimum fixed charge coverage ratio is required to be measured if Excess Availability, as defined in the Credit Agreement, is less than fifty percent of the lesser of the Borrowing Base or the Total Commitment Amount, each as defined in the Credit Agreement.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27, 2020 and December 29, 2019, there were no borrowings outstanding on the Credit Agreement;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2" w:name="page93"/>
    <w:bookmarkEnd w:id="92"/>
    <w:p>
      <w:pPr>
        <w:ind w:right="20"/>
        <w:spacing w:after="0" w:line="277" w:lineRule="auto"/>
        <w:rPr>
          <w:sz w:val="20"/>
          <w:szCs w:val="20"/>
          <w:color w:val="auto"/>
        </w:rPr>
      </w:pPr>
      <w:r>
        <w:rPr>
          <w:rFonts w:ascii="Arial" w:cs="Arial" w:eastAsia="Arial" w:hAnsi="Arial"/>
          <w:sz w:val="18"/>
          <w:szCs w:val="18"/>
          <w:color w:val="auto"/>
        </w:rPr>
        <w:t>there was $5.9 million outstanding on letters of credit, resulting in net borrowing base availability of $71.9 million as of December 27, 2020. The Company was in compliance with the financial covenants of the Credit Agreement as of December 27, 2020.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Israel Debt</w:t>
      </w:r>
    </w:p>
    <w:p>
      <w:pPr>
        <w:spacing w:after="0" w:line="225"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During August 2020, the Company entered into two 5-year term loans with two banks in Israel representing an aggregate principal amount of approximately $5.1 million. These loans were subsidized by the State of Israel as part of a COVID-19 relief package with interest at Israeli NIS prime interest, plus a margin of 1.5%. The first year of interest is paid by the State of Israel with subsequent interest and principal payments due monthly commencing in August 2021.</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5-D Systems Loan</w:t>
      </w:r>
    </w:p>
    <w:p>
      <w:pPr>
        <w:spacing w:after="0" w:line="252" w:lineRule="exact"/>
        <w:rPr>
          <w:sz w:val="20"/>
          <w:szCs w:val="20"/>
          <w:color w:val="auto"/>
        </w:rPr>
      </w:pPr>
    </w:p>
    <w:p>
      <w:pPr>
        <w:jc w:val="both"/>
        <w:ind w:right="60" w:firstLine="648"/>
        <w:spacing w:after="0" w:line="279" w:lineRule="auto"/>
        <w:rPr>
          <w:sz w:val="20"/>
          <w:szCs w:val="20"/>
          <w:color w:val="auto"/>
        </w:rPr>
      </w:pPr>
      <w:r>
        <w:rPr>
          <w:rFonts w:ascii="Arial" w:cs="Arial" w:eastAsia="Arial" w:hAnsi="Arial"/>
          <w:sz w:val="17"/>
          <w:szCs w:val="17"/>
          <w:color w:val="auto"/>
        </w:rPr>
        <w:t>In connection with the acquisition of 5-D Systems, the Company assumed a loan in the amount of approximately $0.5 million with an interest rate of 1.0% that had been obtained under the Small Business Administration Paycheck Protection Program as part of a COVID-19 relief package. Payment of interest and principal is due monthly with the balance due in April 2022. The sellers of 5-D Systems have applied for forgiveness of this loan and as part of the purchase have agreed to indemnify Kratos in the event the application for forgiveness of the loan is not accepted.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December 27, 2020 and December 29, 2019 are presented in the following table: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ind w:right="10"/>
              <w:spacing w:after="0"/>
              <w:rPr>
                <w:sz w:val="20"/>
                <w:szCs w:val="20"/>
                <w:color w:val="auto"/>
              </w:rPr>
            </w:pPr>
            <w:r>
              <w:rPr>
                <w:rFonts w:ascii="Arial" w:cs="Arial" w:eastAsia="Arial" w:hAnsi="Arial"/>
                <w:sz w:val="14"/>
                <w:szCs w:val="14"/>
                <w:b w:val="1"/>
                <w:bCs w:val="1"/>
                <w:color w:val="auto"/>
                <w:w w:val="92"/>
              </w:rPr>
              <w:t>As of December 27, 2020</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4"/>
                <w:szCs w:val="14"/>
                <w:b w:val="1"/>
                <w:bCs w:val="1"/>
                <w:color w:val="auto"/>
                <w:w w:val="90"/>
              </w:rPr>
              <w:t>As of December 29, 2019</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220" w:type="dxa"/>
            <w:vAlign w:val="bottom"/>
          </w:tcPr>
          <w:p>
            <w:pPr>
              <w:spacing w:after="0"/>
              <w:rPr>
                <w:sz w:val="11"/>
                <w:szCs w:val="11"/>
                <w:color w:val="auto"/>
              </w:rPr>
            </w:pPr>
          </w:p>
        </w:tc>
        <w:tc>
          <w:tcPr>
            <w:tcW w:w="90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92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Principal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1"/>
                <w:szCs w:val="11"/>
                <w:color w:val="auto"/>
              </w:rPr>
            </w:pPr>
          </w:p>
        </w:tc>
        <w:tc>
          <w:tcPr>
            <w:tcW w:w="100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3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295.1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fair value of the Company’s long-term debt was based upon actual trading activity (Level 1, Observable inputs —quoted prices in active markets).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December 27, 2020, the difference between the carrying amount of $301.5 million and the principal amount of $305.6 million presented in the previous table, is the unamortized debt issuance costs of $4.1 million, which are being accreted to interest expense over the term of the related debt. As of December 29, 2019, the difference between the carrying amount of $295.1 million and the principal amount of $300.0 million presented in the above table also related to the same unamortized debt issuance costs of $4.9 million.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Future maturities of long-term debt are $0.9 million in 2021, $1.4 million in 2022, $1.2 million in 2023, $1.3 million in 2024 and $300.8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 2025.</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years ended December 27, 2020, and December 29, 2019 were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27, 2020</w:t>
            </w:r>
          </w:p>
        </w:tc>
        <w:tc>
          <w:tcPr>
            <w:tcW w:w="140" w:type="dxa"/>
            <w:vAlign w:val="bottom"/>
          </w:tcPr>
          <w:p>
            <w:pPr>
              <w:spacing w:after="0"/>
              <w:rPr>
                <w:sz w:val="16"/>
                <w:szCs w:val="16"/>
                <w:color w:val="auto"/>
              </w:rPr>
            </w:pPr>
          </w:p>
        </w:tc>
        <w:tc>
          <w:tcPr>
            <w:tcW w:w="138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December 29, 2019</w:t>
            </w:r>
          </w:p>
        </w:tc>
      </w:tr>
      <w:tr>
        <w:trPr>
          <w:trHeight w:val="229"/>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right of use assets - finance leases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Interest expense on lease liabilities - finance leases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 (expense resulting from amortization of total lease payments)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 (cost excluded from lease payments)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Sublease income</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48"/>
        </w:trPr>
        <w:tc>
          <w:tcPr>
            <w:tcW w:w="8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lease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3" w:name="page94"/>
    <w:bookmarkEnd w:id="93"/>
    <w:p>
      <w:pPr>
        <w:ind w:left="660"/>
        <w:spacing w:after="0"/>
        <w:rPr>
          <w:sz w:val="20"/>
          <w:szCs w:val="20"/>
          <w:color w:val="auto"/>
        </w:rPr>
      </w:pPr>
      <w:r>
        <w:rPr>
          <w:rFonts w:ascii="Arial" w:cs="Arial" w:eastAsia="Arial" w:hAnsi="Arial"/>
          <w:sz w:val="18"/>
          <w:szCs w:val="18"/>
          <w:color w:val="auto"/>
        </w:rPr>
        <w:t>The components of leases on the balance sheet were as follows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27, 2020</w:t>
            </w:r>
          </w:p>
        </w:tc>
        <w:tc>
          <w:tcPr>
            <w:tcW w:w="140" w:type="dxa"/>
            <w:vAlign w:val="bottom"/>
          </w:tcPr>
          <w:p>
            <w:pPr>
              <w:spacing w:after="0"/>
              <w:rPr>
                <w:sz w:val="16"/>
                <w:szCs w:val="16"/>
                <w:color w:val="auto"/>
              </w:rPr>
            </w:pPr>
          </w:p>
        </w:tc>
        <w:tc>
          <w:tcPr>
            <w:tcW w:w="138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December 29, 2019</w:t>
            </w:r>
          </w:p>
        </w:tc>
      </w:tr>
      <w:tr>
        <w:trPr>
          <w:trHeight w:val="216"/>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29"/>
        </w:trPr>
        <w:tc>
          <w:tcPr>
            <w:tcW w:w="8080" w:type="dxa"/>
            <w:vAlign w:val="bottom"/>
          </w:tcPr>
          <w:p>
            <w:pPr>
              <w:ind w:left="5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42.1</w:t>
            </w:r>
          </w:p>
        </w:tc>
      </w:tr>
      <w:tr>
        <w:trPr>
          <w:trHeight w:val="230"/>
        </w:trPr>
        <w:tc>
          <w:tcPr>
            <w:tcW w:w="8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8080" w:type="dxa"/>
            <w:vAlign w:val="bottom"/>
          </w:tcPr>
          <w:p>
            <w:pPr>
              <w:ind w:left="520"/>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8080" w:type="dxa"/>
            <w:vAlign w:val="bottom"/>
          </w:tcPr>
          <w:p>
            <w:pPr>
              <w:ind w:left="5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29"/>
        </w:trPr>
        <w:tc>
          <w:tcPr>
            <w:tcW w:w="8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8080" w:type="dxa"/>
            <w:vAlign w:val="bottom"/>
          </w:tcPr>
          <w:p>
            <w:pPr>
              <w:ind w:left="52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38.4</w:t>
            </w:r>
          </w:p>
        </w:tc>
      </w:tr>
    </w:tbl>
    <w:p>
      <w:pPr>
        <w:spacing w:after="0" w:line="32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Cash paid for amounts included in the measurement of lease liabilities for the years ended December 27, 2020, and December 29, 2019 were as follows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December 27, 2020</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5"/>
              </w:rPr>
              <w:t>December 29, 2019</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 cash paid for interest</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Finance lease - financing cash flows</w:t>
            </w:r>
          </w:p>
        </w:tc>
        <w:tc>
          <w:tcPr>
            <w:tcW w:w="340" w:type="dxa"/>
            <w:vAlign w:val="bottom"/>
            <w:gridSpan w:val="3"/>
          </w:tcPr>
          <w:p>
            <w:pPr>
              <w:ind w:left="220"/>
              <w:spacing w:after="0"/>
              <w:rPr>
                <w:sz w:val="20"/>
                <w:szCs w:val="20"/>
                <w:color w:val="auto"/>
              </w:rPr>
            </w:pPr>
            <w:r>
              <w:rPr>
                <w:rFonts w:ascii="Arial" w:cs="Arial" w:eastAsia="Arial" w:hAnsi="Arial"/>
                <w:sz w:val="18"/>
                <w:szCs w:val="18"/>
                <w:color w:val="auto"/>
                <w:w w:val="99"/>
              </w:rPr>
              <w:t>$</w:t>
            </w: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 operating cash flows (fixed payments)</w:t>
            </w:r>
          </w:p>
        </w:tc>
        <w:tc>
          <w:tcPr>
            <w:tcW w:w="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4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553"/>
        </w:trPr>
        <w:tc>
          <w:tcPr>
            <w:tcW w:w="7880" w:type="dxa"/>
            <w:vAlign w:val="bottom"/>
          </w:tcPr>
          <w:p>
            <w:pPr>
              <w:ind w:left="660"/>
              <w:spacing w:after="0"/>
              <w:rPr>
                <w:sz w:val="20"/>
                <w:szCs w:val="20"/>
                <w:color w:val="auto"/>
              </w:rPr>
            </w:pPr>
            <w:r>
              <w:rPr>
                <w:rFonts w:ascii="Arial" w:cs="Arial" w:eastAsia="Arial" w:hAnsi="Arial"/>
                <w:sz w:val="18"/>
                <w:szCs w:val="18"/>
                <w:color w:val="auto"/>
              </w:rPr>
              <w:t>Other supplemental noncash information (in millions):</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8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27, 2020</w:t>
            </w:r>
          </w:p>
        </w:tc>
        <w:tc>
          <w:tcPr>
            <w:tcW w:w="8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1"/>
              </w:rPr>
              <w:t>December 29, 2019</w:t>
            </w:r>
          </w:p>
        </w:tc>
        <w:tc>
          <w:tcPr>
            <w:tcW w:w="0" w:type="dxa"/>
            <w:vAlign w:val="bottom"/>
          </w:tcPr>
          <w:p>
            <w:pPr>
              <w:spacing w:after="0"/>
              <w:rPr>
                <w:sz w:val="1"/>
                <w:szCs w:val="1"/>
                <w:color w:val="auto"/>
              </w:rPr>
            </w:pPr>
          </w:p>
        </w:tc>
      </w:tr>
      <w:tr>
        <w:trPr>
          <w:trHeight w:val="162"/>
        </w:trPr>
        <w:tc>
          <w:tcPr>
            <w:tcW w:w="788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Operating lease liabilities arising from obtaining right-of-use assets, including impact of ASC 842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gridSpan w:val="3"/>
            <w:vMerge w:val="restart"/>
            <w:shd w:val="clear" w:color="auto" w:fill="CCEEFF"/>
          </w:tcPr>
          <w:p>
            <w:pPr>
              <w:ind w:left="96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adoption</w:t>
            </w:r>
          </w:p>
        </w:tc>
        <w:tc>
          <w:tcPr>
            <w:tcW w:w="1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3"/>
            <w:vMerge w:val="continue"/>
            <w:shd w:val="clear" w:color="auto" w:fill="CCEEFF"/>
          </w:tcPr>
          <w:p>
            <w:pPr>
              <w:spacing w:after="0"/>
              <w:rPr>
                <w:sz w:val="19"/>
                <w:szCs w:val="19"/>
                <w:color w:val="auto"/>
              </w:rPr>
            </w:pPr>
          </w:p>
        </w:tc>
        <w:tc>
          <w:tcPr>
            <w:tcW w:w="140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w w:val="94"/>
              </w:rPr>
              <w:t>Finance lease liabilities arising from obtaining right-of-use assets, including impact of ASC 842 adoption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3"/>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gridSpan w:val="3"/>
          </w:tcPr>
          <w:p>
            <w:pPr>
              <w:ind w:left="96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162"/>
        </w:trPr>
        <w:tc>
          <w:tcPr>
            <w:tcW w:w="7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30"/>
        </w:trPr>
        <w:tc>
          <w:tcPr>
            <w:tcW w:w="7880" w:type="dxa"/>
            <w:vAlign w:val="bottom"/>
          </w:tcPr>
          <w:p>
            <w:pPr>
              <w:ind w:left="680"/>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17.68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162"/>
        </w:trPr>
        <w:tc>
          <w:tcPr>
            <w:tcW w:w="7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6.50 %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30"/>
        </w:trPr>
        <w:tc>
          <w:tcPr>
            <w:tcW w:w="7880" w:type="dxa"/>
            <w:vAlign w:val="bottom"/>
          </w:tcPr>
          <w:p>
            <w:pPr>
              <w:ind w:left="680"/>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6.52 %</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6.52 %</w:t>
            </w:r>
          </w:p>
        </w:tc>
        <w:tc>
          <w:tcPr>
            <w:tcW w:w="0" w:type="dxa"/>
            <w:vAlign w:val="bottom"/>
          </w:tcPr>
          <w:p>
            <w:pPr>
              <w:spacing w:after="0"/>
              <w:rPr>
                <w:sz w:val="1"/>
                <w:szCs w:val="1"/>
                <w:color w:val="auto"/>
              </w:rPr>
            </w:pPr>
          </w:p>
        </w:tc>
      </w:tr>
      <w:tr>
        <w:trPr>
          <w:trHeight w:val="553"/>
        </w:trPr>
        <w:tc>
          <w:tcPr>
            <w:tcW w:w="7880" w:type="dxa"/>
            <w:vAlign w:val="bottom"/>
          </w:tcPr>
          <w:p>
            <w:pPr>
              <w:ind w:left="660"/>
              <w:spacing w:after="0"/>
              <w:rPr>
                <w:sz w:val="20"/>
                <w:szCs w:val="20"/>
                <w:color w:val="auto"/>
              </w:rPr>
            </w:pPr>
            <w:r>
              <w:rPr>
                <w:rFonts w:ascii="Arial" w:cs="Arial" w:eastAsia="Arial" w:hAnsi="Arial"/>
                <w:sz w:val="18"/>
                <w:szCs w:val="18"/>
                <w:color w:val="auto"/>
              </w:rPr>
              <w:t>The maturity of lease liabilities is (in millions):</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5"/>
          </w:tcPr>
          <w:p>
            <w:pPr>
              <w:ind w:left="40"/>
              <w:spacing w:after="0"/>
              <w:rPr>
                <w:sz w:val="20"/>
                <w:szCs w:val="20"/>
                <w:color w:val="auto"/>
              </w:rPr>
            </w:pPr>
            <w:r>
              <w:rPr>
                <w:rFonts w:ascii="Arial" w:cs="Arial" w:eastAsia="Arial" w:hAnsi="Arial"/>
                <w:sz w:val="14"/>
                <w:szCs w:val="14"/>
                <w:b w:val="1"/>
                <w:bCs w:val="1"/>
                <w:color w:val="auto"/>
              </w:rPr>
              <w:t>Operating Leases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6"/>
              </w:rPr>
              <w:t>Finance Leases</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8.8</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(9.1)</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color w:val="auto"/>
                <w:w w:val="93"/>
              </w:rPr>
              <w:t>(29.1)</w:t>
            </w: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Total present value of lease liabilities</w:t>
            </w:r>
          </w:p>
        </w:tc>
        <w:tc>
          <w:tcPr>
            <w:tcW w:w="1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47.5</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4" w:name="page95"/>
    <w:bookmarkEnd w:id="94"/>
    <w:p>
      <w:pPr>
        <w:ind w:right="240" w:firstLine="180"/>
        <w:spacing w:after="0" w:line="277" w:lineRule="auto"/>
        <w:rPr>
          <w:sz w:val="20"/>
          <w:szCs w:val="20"/>
          <w:color w:val="auto"/>
        </w:rPr>
      </w:pPr>
      <w:r>
        <w:rPr>
          <w:rFonts w:ascii="Arial" w:cs="Arial" w:eastAsia="Arial" w:hAnsi="Arial"/>
          <w:sz w:val="18"/>
          <w:szCs w:val="18"/>
          <w:color w:val="auto"/>
        </w:rPr>
        <w:t>Rental expense for operating leases classified under ASC 840 for the year ended December 30, 2018 was $23.7 million. Total sublease income for the year ended December 30, 2018 totaling $3.3 million has been netted against rent expense.</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Net Income (Loss) Per Common Share</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 xml:space="preserve">The Company calculates net income (loss) per common share in accordance with FASB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(“Topic 260”). Under Topic 260, basic net income (loss) per common share is calculated by dividing net income (loss) by the weighted-average number of common shares outstanding during the reporting period. Diluted net income (loss) per common share reflects the effects of potentially dilutive securities.</w:t>
      </w:r>
    </w:p>
    <w:p>
      <w:pPr>
        <w:spacing w:after="0" w:line="1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shares were excluded from the calculation of diluted income (loss) per common share because their inclusion would have been anti-dilutive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4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340" w:type="dxa"/>
            <w:vAlign w:val="bottom"/>
            <w:tcBorders>
              <w:bottom w:val="single" w:sz="8" w:color="auto"/>
            </w:tcBorders>
          </w:tcPr>
          <w:p>
            <w:pPr>
              <w:spacing w:after="0"/>
              <w:rPr>
                <w:sz w:val="17"/>
                <w:szCs w:val="17"/>
                <w:color w:val="auto"/>
              </w:rPr>
            </w:pPr>
          </w:p>
        </w:tc>
      </w:tr>
      <w:tr>
        <w:trPr>
          <w:trHeight w:val="188"/>
        </w:trPr>
        <w:tc>
          <w:tcPr>
            <w:tcW w:w="664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27, 2020</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29, 2019</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98"/>
              </w:rPr>
              <w:t>December 30, 2018</w:t>
            </w:r>
          </w:p>
        </w:tc>
      </w:tr>
      <w:tr>
        <w:trPr>
          <w:trHeight w:val="224"/>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from stock options and awards</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bl>
    <w:p>
      <w:pPr>
        <w:spacing w:after="0" w:line="3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Income Taxes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income (loss) from continuing operations before income taxes are comprised of the following (in millions):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144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27, 2020</w:t>
            </w:r>
          </w:p>
        </w:tc>
        <w:tc>
          <w:tcPr>
            <w:tcW w:w="142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29, 2019</w:t>
            </w: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30, 2018</w:t>
            </w:r>
          </w:p>
        </w:tc>
      </w:tr>
      <w:tr>
        <w:trPr>
          <w:trHeight w:val="224"/>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520" w:type="dxa"/>
            <w:vAlign w:val="bottom"/>
            <w:tcBorders>
              <w:top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w w:val="97"/>
              </w:rPr>
              <w:t>(1.6)</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87"/>
              </w:rPr>
              <w:t>8.4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48"/>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87"/>
              </w:rPr>
              <w:t>6.8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(benefit) for income taxes from continuing operations are comprised of the following (in millions):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7"/>
        </w:trPr>
        <w:tc>
          <w:tcPr>
            <w:tcW w:w="7000" w:type="dxa"/>
            <w:vAlign w:val="bottom"/>
          </w:tcPr>
          <w:p>
            <w:pPr>
              <w:spacing w:after="0"/>
              <w:rPr>
                <w:sz w:val="16"/>
                <w:szCs w:val="16"/>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27, 2020</w:t>
            </w:r>
          </w:p>
        </w:tc>
        <w:tc>
          <w:tcPr>
            <w:tcW w:w="14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29, 2019</w:t>
            </w: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December 30, 2018</w:t>
            </w:r>
          </w:p>
        </w:tc>
      </w:tr>
      <w:tr>
        <w:trPr>
          <w:trHeight w:val="211"/>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income taxes:</w:t>
            </w:r>
          </w:p>
        </w:tc>
        <w:tc>
          <w:tcPr>
            <w:tcW w:w="4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30"/>
        </w:trPr>
        <w:tc>
          <w:tcPr>
            <w:tcW w:w="7000" w:type="dxa"/>
            <w:vAlign w:val="bottom"/>
          </w:tcPr>
          <w:p>
            <w:pPr>
              <w:ind w:left="160"/>
              <w:spacing w:after="0"/>
              <w:rPr>
                <w:sz w:val="20"/>
                <w:szCs w:val="20"/>
                <w:color w:val="auto"/>
              </w:rPr>
            </w:pPr>
            <w:r>
              <w:rPr>
                <w:rFonts w:ascii="Arial" w:cs="Arial" w:eastAsia="Arial" w:hAnsi="Arial"/>
                <w:sz w:val="18"/>
                <w:szCs w:val="18"/>
                <w:color w:val="auto"/>
              </w:rPr>
              <w:t>Current</w:t>
            </w:r>
          </w:p>
        </w:tc>
        <w:tc>
          <w:tcPr>
            <w:tcW w:w="480" w:type="dxa"/>
            <w:vAlign w:val="bottom"/>
          </w:tcPr>
          <w:p>
            <w:pPr>
              <w:jc w:val="right"/>
              <w:ind w:right="296"/>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center"/>
              <w:ind w:left="632"/>
              <w:spacing w:after="0"/>
              <w:rPr>
                <w:sz w:val="20"/>
                <w:szCs w:val="20"/>
                <w:color w:val="auto"/>
              </w:rPr>
            </w:pPr>
            <w:r>
              <w:rPr>
                <w:rFonts w:ascii="Arial" w:cs="Arial" w:eastAsia="Arial" w:hAnsi="Arial"/>
                <w:sz w:val="18"/>
                <w:szCs w:val="18"/>
                <w:color w:val="auto"/>
                <w:w w:val="91"/>
              </w:rPr>
              <w:t>(0.2)</w:t>
            </w:r>
          </w:p>
        </w:tc>
        <w:tc>
          <w:tcPr>
            <w:tcW w:w="100" w:type="dxa"/>
            <w:vAlign w:val="bottom"/>
          </w:tcPr>
          <w:p>
            <w:pPr>
              <w:spacing w:after="0"/>
              <w:rPr>
                <w:sz w:val="19"/>
                <w:szCs w:val="19"/>
                <w:color w:val="auto"/>
              </w:rPr>
            </w:pPr>
          </w:p>
        </w:tc>
        <w:tc>
          <w:tcPr>
            <w:tcW w:w="520" w:type="dxa"/>
            <w:vAlign w:val="bottom"/>
          </w:tcPr>
          <w:p>
            <w:pPr>
              <w:jc w:val="right"/>
              <w:ind w:right="336"/>
              <w:spacing w:after="0"/>
              <w:rPr>
                <w:sz w:val="20"/>
                <w:szCs w:val="20"/>
                <w:color w:val="auto"/>
              </w:rPr>
            </w:pPr>
            <w:r>
              <w:rPr>
                <w:rFonts w:ascii="Arial" w:cs="Arial" w:eastAsia="Arial" w:hAnsi="Arial"/>
                <w:sz w:val="18"/>
                <w:szCs w:val="18"/>
                <w:color w:val="auto"/>
                <w:w w:val="79"/>
              </w:rPr>
              <w:t>$</w:t>
            </w: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97"/>
              </w:rPr>
              <w:t>(0.4)</w:t>
            </w:r>
          </w:p>
        </w:tc>
      </w:tr>
      <w:tr>
        <w:trPr>
          <w:trHeight w:val="229"/>
        </w:trPr>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632"/>
              <w:spacing w:after="0"/>
              <w:rPr>
                <w:sz w:val="20"/>
                <w:szCs w:val="20"/>
                <w:color w:val="auto"/>
              </w:rPr>
            </w:pPr>
            <w:r>
              <w:rPr>
                <w:rFonts w:ascii="Arial" w:cs="Arial" w:eastAsia="Arial" w:hAnsi="Arial"/>
                <w:sz w:val="18"/>
                <w:szCs w:val="18"/>
                <w:color w:val="auto"/>
                <w:w w:val="91"/>
              </w:rPr>
              <w:t>(3.9)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w w:val="97"/>
              </w:rPr>
              <w:t>(1.8)</w:t>
            </w:r>
          </w:p>
        </w:tc>
      </w:tr>
      <w:tr>
        <w:trPr>
          <w:trHeight w:val="223"/>
        </w:trPr>
        <w:tc>
          <w:tcPr>
            <w:tcW w:w="7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Federal</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632"/>
              <w:spacing w:after="0"/>
              <w:rPr>
                <w:sz w:val="20"/>
                <w:szCs w:val="20"/>
                <w:color w:val="auto"/>
              </w:rPr>
            </w:pPr>
            <w:r>
              <w:rPr>
                <w:rFonts w:ascii="Arial" w:cs="Arial" w:eastAsia="Arial" w:hAnsi="Arial"/>
                <w:sz w:val="18"/>
                <w:szCs w:val="18"/>
                <w:color w:val="auto"/>
                <w:w w:val="91"/>
              </w:rPr>
              <w:t>(4.1)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7"/>
              </w:rPr>
              <w:t>(2.2)</w:t>
            </w:r>
          </w:p>
        </w:tc>
      </w:tr>
      <w:tr>
        <w:trPr>
          <w:trHeight w:val="209"/>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income taxes:</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0"/>
        </w:trPr>
        <w:tc>
          <w:tcPr>
            <w:tcW w:w="7000" w:type="dxa"/>
            <w:vAlign w:val="bottom"/>
          </w:tcPr>
          <w:p>
            <w:pPr>
              <w:ind w:left="160"/>
              <w:spacing w:after="0"/>
              <w:rPr>
                <w:sz w:val="20"/>
                <w:szCs w:val="20"/>
                <w:color w:val="auto"/>
              </w:rPr>
            </w:pPr>
            <w:r>
              <w:rPr>
                <w:rFonts w:ascii="Arial" w:cs="Arial" w:eastAsia="Arial" w:hAnsi="Arial"/>
                <w:sz w:val="18"/>
                <w:szCs w:val="18"/>
                <w:color w:val="auto"/>
              </w:rPr>
              <w:t>Current</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left="672"/>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center"/>
              <w:ind w:left="330"/>
              <w:spacing w:after="0"/>
              <w:rPr>
                <w:sz w:val="20"/>
                <w:szCs w:val="20"/>
                <w:color w:val="auto"/>
              </w:rPr>
            </w:pPr>
            <w:r>
              <w:rPr>
                <w:rFonts w:ascii="Arial" w:cs="Arial" w:eastAsia="Arial" w:hAnsi="Arial"/>
                <w:sz w:val="18"/>
                <w:szCs w:val="18"/>
                <w:color w:val="auto"/>
                <w:w w:val="87"/>
              </w:rPr>
              <w:t>0.4</w:t>
            </w:r>
          </w:p>
        </w:tc>
      </w:tr>
      <w:tr>
        <w:trPr>
          <w:trHeight w:val="230"/>
        </w:trPr>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632"/>
              <w:spacing w:after="0"/>
              <w:rPr>
                <w:sz w:val="20"/>
                <w:szCs w:val="20"/>
                <w:color w:val="auto"/>
              </w:rPr>
            </w:pPr>
            <w:r>
              <w:rPr>
                <w:rFonts w:ascii="Arial" w:cs="Arial" w:eastAsia="Arial" w:hAnsi="Arial"/>
                <w:sz w:val="18"/>
                <w:szCs w:val="18"/>
                <w:color w:val="auto"/>
                <w:w w:val="91"/>
              </w:rPr>
              <w:t>(0.9)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87"/>
              </w:rPr>
              <w:t>1.4</w:t>
            </w:r>
          </w:p>
        </w:tc>
      </w:tr>
      <w:tr>
        <w:trPr>
          <w:trHeight w:val="223"/>
        </w:trPr>
        <w:tc>
          <w:tcPr>
            <w:tcW w:w="7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State and local</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672"/>
              <w:spacing w:after="0"/>
              <w:rPr>
                <w:sz w:val="20"/>
                <w:szCs w:val="20"/>
                <w:color w:val="auto"/>
              </w:rPr>
            </w:pPr>
            <w:r>
              <w:rPr>
                <w:rFonts w:ascii="Arial" w:cs="Arial" w:eastAsia="Arial" w:hAnsi="Arial"/>
                <w:sz w:val="18"/>
                <w:szCs w:val="18"/>
                <w:color w:val="auto"/>
                <w:w w:val="87"/>
              </w:rPr>
              <w:t>0.1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87"/>
              </w:rPr>
              <w:t>1.8</w:t>
            </w: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taxes:</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9"/>
        </w:trPr>
        <w:tc>
          <w:tcPr>
            <w:tcW w:w="7000" w:type="dxa"/>
            <w:vAlign w:val="bottom"/>
          </w:tcPr>
          <w:p>
            <w:pPr>
              <w:ind w:left="160"/>
              <w:spacing w:after="0"/>
              <w:rPr>
                <w:sz w:val="20"/>
                <w:szCs w:val="20"/>
                <w:color w:val="auto"/>
              </w:rPr>
            </w:pPr>
            <w:r>
              <w:rPr>
                <w:rFonts w:ascii="Arial" w:cs="Arial" w:eastAsia="Arial" w:hAnsi="Arial"/>
                <w:sz w:val="18"/>
                <w:szCs w:val="18"/>
                <w:color w:val="auto"/>
              </w:rPr>
              <w:t>Current</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left="672"/>
              <w:spacing w:after="0"/>
              <w:rPr>
                <w:sz w:val="20"/>
                <w:szCs w:val="20"/>
                <w:color w:val="auto"/>
              </w:rPr>
            </w:pPr>
            <w:r>
              <w:rPr>
                <w:rFonts w:ascii="Arial" w:cs="Arial" w:eastAsia="Arial" w:hAnsi="Arial"/>
                <w:sz w:val="18"/>
                <w:szCs w:val="18"/>
                <w:color w:val="auto"/>
                <w:w w:val="87"/>
              </w:rPr>
              <w:t>9.0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center"/>
              <w:ind w:left="330"/>
              <w:spacing w:after="0"/>
              <w:rPr>
                <w:sz w:val="20"/>
                <w:szCs w:val="20"/>
                <w:color w:val="auto"/>
              </w:rPr>
            </w:pPr>
            <w:r>
              <w:rPr>
                <w:rFonts w:ascii="Arial" w:cs="Arial" w:eastAsia="Arial" w:hAnsi="Arial"/>
                <w:sz w:val="18"/>
                <w:szCs w:val="18"/>
                <w:color w:val="auto"/>
                <w:w w:val="87"/>
              </w:rPr>
              <w:t>4.8</w:t>
            </w:r>
          </w:p>
        </w:tc>
      </w:tr>
      <w:tr>
        <w:trPr>
          <w:trHeight w:val="230"/>
        </w:trPr>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632"/>
              <w:spacing w:after="0"/>
              <w:rPr>
                <w:sz w:val="20"/>
                <w:szCs w:val="20"/>
                <w:color w:val="auto"/>
              </w:rPr>
            </w:pPr>
            <w:r>
              <w:rPr>
                <w:rFonts w:ascii="Arial" w:cs="Arial" w:eastAsia="Arial" w:hAnsi="Arial"/>
                <w:sz w:val="18"/>
                <w:szCs w:val="18"/>
                <w:color w:val="auto"/>
                <w:w w:val="91"/>
              </w:rPr>
              <w:t>(0.2)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87"/>
              </w:rPr>
              <w:t>0.2</w:t>
            </w:r>
          </w:p>
        </w:tc>
      </w:tr>
      <w:tr>
        <w:trPr>
          <w:trHeight w:val="223"/>
        </w:trPr>
        <w:tc>
          <w:tcPr>
            <w:tcW w:w="7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Foreign</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672"/>
              <w:spacing w:after="0"/>
              <w:rPr>
                <w:sz w:val="20"/>
                <w:szCs w:val="20"/>
                <w:color w:val="auto"/>
              </w:rPr>
            </w:pPr>
            <w:r>
              <w:rPr>
                <w:rFonts w:ascii="Arial" w:cs="Arial" w:eastAsia="Arial" w:hAnsi="Arial"/>
                <w:sz w:val="18"/>
                <w:szCs w:val="18"/>
                <w:color w:val="auto"/>
                <w:w w:val="87"/>
              </w:rPr>
              <w:t>8.8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87"/>
              </w:rPr>
              <w:t>5.0</w:t>
            </w:r>
          </w:p>
        </w:tc>
      </w:tr>
      <w:tr>
        <w:trPr>
          <w:trHeight w:val="248"/>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center"/>
              <w:ind w:left="672"/>
              <w:spacing w:after="0"/>
              <w:rPr>
                <w:sz w:val="20"/>
                <w:szCs w:val="20"/>
                <w:color w:val="auto"/>
              </w:rPr>
            </w:pPr>
            <w:r>
              <w:rPr>
                <w:rFonts w:ascii="Arial" w:cs="Arial" w:eastAsia="Arial" w:hAnsi="Arial"/>
                <w:sz w:val="18"/>
                <w:szCs w:val="18"/>
                <w:color w:val="auto"/>
                <w:w w:val="87"/>
              </w:rPr>
              <w:t>4.8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87"/>
              </w:rPr>
              <w:t>4.6</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95" w:name="page96"/>
    <w:bookmarkEnd w:id="95"/>
    <w:p>
      <w:pPr>
        <w:jc w:val="both"/>
        <w:ind w:firstLine="648"/>
        <w:spacing w:after="0" w:line="263" w:lineRule="auto"/>
        <w:rPr>
          <w:sz w:val="20"/>
          <w:szCs w:val="20"/>
          <w:color w:val="auto"/>
        </w:rPr>
      </w:pPr>
      <w:r>
        <w:rPr>
          <w:rFonts w:ascii="Arial" w:cs="Arial" w:eastAsia="Arial" w:hAnsi="Arial"/>
          <w:sz w:val="18"/>
          <w:szCs w:val="18"/>
          <w:color w:val="auto"/>
        </w:rPr>
        <w:t>A reconciliation of the total income tax provision (benefit) to the amount computed by applying the statutory federal income tax rate of 21% to the income from continuing operations before income taxes for the years ended December 27, 2020, December 29, 2019 and December 30, 2018 is as follows (in millions):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7"/>
        </w:trPr>
        <w:tc>
          <w:tcPr>
            <w:tcW w:w="7020" w:type="dxa"/>
            <w:vAlign w:val="bottom"/>
          </w:tcPr>
          <w:p>
            <w:pPr>
              <w:spacing w:after="0"/>
              <w:rPr>
                <w:sz w:val="16"/>
                <w:szCs w:val="16"/>
                <w:color w:val="auto"/>
              </w:rPr>
            </w:pP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27, 2020</w:t>
            </w: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29, 2019</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30, 2018</w:t>
            </w:r>
          </w:p>
        </w:tc>
      </w:tr>
      <w:tr>
        <w:trPr>
          <w:trHeight w:val="224"/>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at federal statutory rate</w:t>
            </w:r>
          </w:p>
        </w:tc>
        <w:tc>
          <w:tcPr>
            <w:tcW w:w="48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State taxes, net of federal tax benefit and valuation allowance</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Difference in tax rates between U.S. and foreign</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Increase (decrease) in valuation allowance</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Increase in reserve for uncertain tax positions</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to indefinite life items and separate state deferred taxes</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One-time transition tax on previously undistributed foreign earnings</w:t>
            </w:r>
          </w:p>
        </w:tc>
        <w:tc>
          <w:tcPr>
            <w:tcW w:w="4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deferred taxes related to disposition</w:t>
            </w: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Release of valuation allowance due to acquisitions</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1"/>
        </w:trPr>
        <w:tc>
          <w:tcPr>
            <w:tcW w:w="7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Effective January 1, 2018, the Tax Cuts and Jobs Act (“TCJA”) required the acceleration of certain types of revenue for tax purposes. The new rules prohibit the Company from deferring revenue on unbilled accounts receivable later than when the amounts are recognized as revenue for book purposes. This change impacted several accounting methods previously used by the Company and resulted in an acceleration of taxability of such revenue as compared with prior U.S. tax laws. The additional revenue will be recognized over four years beginning in 2018. Additionally, interest deductions of the Company will be limited to 50% of tax adjusted EBITDA in 2020 and 30% in future years.</w:t>
      </w:r>
    </w:p>
    <w:p>
      <w:pPr>
        <w:spacing w:after="0" w:line="20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Additionally, effective January 1, 2018, the TCJA imposes a U.S. tax on global intangible low taxed income (“GILTI”) that is earned by certain foreign affiliates owned by a U.S. shareholder each year. The computation of GILTI is generally intended to impose tax on the earnings of a foreign corporation that are deemed to exceed a certain threshold return relative to the underlying business investment. The Company has made a policy election to treat future taxes related to GILTI as a current period expense in the reporting period in which the tax is incurred.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96" w:name="page97"/>
    <w:bookmarkEnd w:id="96"/>
    <w:p>
      <w:pPr>
        <w:ind w:left="660"/>
        <w:spacing w:after="0"/>
        <w:rPr>
          <w:sz w:val="20"/>
          <w:szCs w:val="20"/>
          <w:color w:val="auto"/>
        </w:rPr>
      </w:pPr>
      <w:r>
        <w:rPr>
          <w:rFonts w:ascii="Arial" w:cs="Arial" w:eastAsia="Arial" w:hAnsi="Arial"/>
          <w:sz w:val="18"/>
          <w:szCs w:val="18"/>
          <w:color w:val="auto"/>
        </w:rPr>
        <w:t>The tax effects of temporary differences that give rise to deferred tax assets and deferred tax liabilities are as follows (in millions):</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77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5"/>
              </w:rPr>
              <w:t>December 27, 2020</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5"/>
              </w:rPr>
              <w:t>December 29, 2019</w:t>
            </w:r>
          </w:p>
        </w:tc>
      </w:tr>
      <w:tr>
        <w:trPr>
          <w:trHeight w:val="211"/>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related accruals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Lease accruals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 carryforwards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Tax credit carryforwards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3"/>
        </w:trPr>
        <w:tc>
          <w:tcPr>
            <w:tcW w:w="7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137.5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143.1</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r>
      <w:tr>
        <w:trPr>
          <w:trHeight w:val="22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assets, net of valuation allowance</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r>
      <w:tr>
        <w:trPr>
          <w:trHeight w:val="20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Other intangibles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principally due to differences in depreciation</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Net deferred tax asset (liability)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1"/>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Company maintained a full valuation allowance on its U.S. deferred tax assets as of the third quarter of 2020. During the fourth quarter of 2020, the Company evaluated all available evidence, both positive and negative, to determine whether based on the weight of that evidence, a valuation allowance for deferred tax assets was still needed. Evidence evaluated by the Company included but was not limited to, its three-year cumulative income position, the results and trend of pretax book income from core operations and its forecast of taxable income. As a result, the Company determined that the majority of its U.S. deferred tax assets were more likely than not to be realized and reversed a significant portion of the valuation allowance against those deferred tax assets accordingly. The remaining valuation allowance on the Company’s U.S. deferred tax assets as of December 27, 2020 relate primarily to state net operating loss and capital loss carryforwards the Company estimates it may not be able to utilize in future periods. During fiscal 2020, the Company recorded a net decrease in its valuation allowance of $81.2 million.</w:t>
      </w:r>
    </w:p>
    <w:p>
      <w:pPr>
        <w:spacing w:after="0" w:line="17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At December 27, 2020, the Company had federal tax loss carryforwards of $271.0 million and various state tax loss carryforwards of $245.8 million. The federal tax loss carryforwards will begin to expire in 2027 and state tax loss carryforwards will begin to expire in 2021 in certain states. Additionally, the state capital loss carryforward generated in 2018 will begin to expire in 2024. At December 27, 2020, the Company had federal tax credit carryforwards of $11.1 million and various state tax credit carryforwards of $0.6 million. The federal tax credit carryforwards will begin to expire in 2024 and the state tax credit carryforwards do not have an expiration.</w:t>
      </w:r>
    </w:p>
    <w:p>
      <w:pPr>
        <w:spacing w:after="0" w:line="18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Federal and state income tax laws impose restrictions on the utilization of net operating losses (“NOLs”)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NOLs or other loss carryovers) have increased their ownership of stock in such corporation by more than 50 percentage points during any 3-year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 year period after the ownership change.</w:t>
      </w:r>
    </w:p>
    <w:p>
      <w:pPr>
        <w:spacing w:after="0" w:line="177" w:lineRule="exact"/>
        <w:rPr>
          <w:sz w:val="20"/>
          <w:szCs w:val="20"/>
          <w:color w:val="auto"/>
        </w:rPr>
      </w:pPr>
    </w:p>
    <w:p>
      <w:pPr>
        <w:jc w:val="both"/>
        <w:ind w:right="380" w:firstLine="648"/>
        <w:spacing w:after="0" w:line="263" w:lineRule="auto"/>
        <w:rPr>
          <w:sz w:val="20"/>
          <w:szCs w:val="20"/>
          <w:color w:val="auto"/>
        </w:rPr>
      </w:pPr>
      <w:r>
        <w:rPr>
          <w:rFonts w:ascii="Arial" w:cs="Arial" w:eastAsia="Arial" w:hAnsi="Arial"/>
          <w:sz w:val="18"/>
          <w:szCs w:val="18"/>
          <w:color w:val="auto"/>
        </w:rPr>
        <w:t>In tax years 2010 and 2011 the Company experienced a Section 382 “ownership change” that will limit the utilization of NOL carryforwards. Additionally, in prior years the Company acquired corporations with NOL carryforwards at the date of acquisition (“Acquired NOLs”). The Acquired NOLs are subject to separate limitations that may further restrict the use of</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97" w:name="page98"/>
    <w:bookmarkEnd w:id="97"/>
    <w:p>
      <w:pPr>
        <w:ind w:right="20"/>
        <w:spacing w:after="0" w:line="259" w:lineRule="auto"/>
        <w:rPr>
          <w:sz w:val="20"/>
          <w:szCs w:val="20"/>
          <w:color w:val="auto"/>
        </w:rPr>
      </w:pPr>
      <w:r>
        <w:rPr>
          <w:rFonts w:ascii="Arial" w:cs="Arial" w:eastAsia="Arial" w:hAnsi="Arial"/>
          <w:sz w:val="18"/>
          <w:szCs w:val="18"/>
          <w:color w:val="auto"/>
        </w:rPr>
        <w:t>Acquired NOLs. For the year ended December 27, 2020, there was no impact of such Section 382 limitations on the income tax provision since the amount of taxable income did not exceed the annual limitation amount. However, future equity offerings or acquisitions that have equity as a component of the purchase price could also cause an “ownership change.” If and when any other “ownership change” occurs, utilization of the NOLs or other tax attributes may be further limited.</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of December 31, 2017, all accumulated undistributed earnings of our foreign subsidiaries were subject to the one-time transition tax on foreign earnings required by the 2017 Tax Cuts and Jobs Act. It is the Company’s intention to permanently reinvest undistributed earnings of its foreign subsidiaries. As such, the Company has not provided deferred U.S. income taxes or foreign withholding taxes of approximately $11.0 million on temporary differences relating to the outside basis in its investment in foreign subsidiaries. As of December 27, 2020, the Company has $29.2 million of cash and cash equivalents available for distribution.</w:t>
      </w:r>
    </w:p>
    <w:p>
      <w:pPr>
        <w:spacing w:after="0" w:line="21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Company is subject to taxation in the U.S., various state tax jurisdictions and various foreign tax jurisdictions. The Company’s tax years for 2000 and later are subject to examination by the U.S. and state tax authorities due to the existence of NOL carryforwards. Generally, the Company’s tax years for 2015 and later are subject to examination by various foreign tax authorities, as well.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the Company’s unrecognized tax benefits (in millions):</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9"/>
        </w:trPr>
        <w:tc>
          <w:tcPr>
            <w:tcW w:w="9920" w:type="dxa"/>
            <w:vAlign w:val="bottom"/>
          </w:tcPr>
          <w:p>
            <w:pPr>
              <w:ind w:left="20"/>
              <w:spacing w:after="0"/>
              <w:rPr>
                <w:sz w:val="20"/>
                <w:szCs w:val="20"/>
                <w:color w:val="auto"/>
              </w:rPr>
            </w:pPr>
            <w:r>
              <w:rPr>
                <w:rFonts w:ascii="Arial" w:cs="Arial" w:eastAsia="Arial" w:hAnsi="Arial"/>
                <w:sz w:val="18"/>
                <w:szCs w:val="18"/>
                <w:color w:val="auto"/>
              </w:rPr>
              <w:t>Increases related to prior periods</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related to current year tax positions</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9920" w:type="dxa"/>
            <w:vAlign w:val="bottom"/>
          </w:tcPr>
          <w:p>
            <w:pPr>
              <w:ind w:left="20"/>
              <w:spacing w:after="0"/>
              <w:rPr>
                <w:sz w:val="20"/>
                <w:szCs w:val="20"/>
                <w:color w:val="auto"/>
              </w:rPr>
            </w:pPr>
            <w:r>
              <w:rPr>
                <w:rFonts w:ascii="Arial" w:cs="Arial" w:eastAsia="Arial" w:hAnsi="Arial"/>
                <w:sz w:val="18"/>
                <w:szCs w:val="18"/>
                <w:color w:val="auto"/>
              </w:rPr>
              <w:t>Expiration of applicable statutes of limitations</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Decreases related to prior year tax positions</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Decreases related to disposition</w:t>
            </w: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30, 2018</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Increases related to prior periods</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related to current year tax positions</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Expiration of applicable statutes of limitations</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Decreases related to settlement with tax authorities</w:t>
            </w:r>
          </w:p>
        </w:tc>
        <w:tc>
          <w:tcPr>
            <w:tcW w:w="5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9920" w:type="dxa"/>
            <w:vAlign w:val="bottom"/>
          </w:tcPr>
          <w:p>
            <w:pPr>
              <w:ind w:left="20"/>
              <w:spacing w:after="0"/>
              <w:rPr>
                <w:sz w:val="20"/>
                <w:szCs w:val="20"/>
                <w:color w:val="auto"/>
              </w:rPr>
            </w:pPr>
            <w:r>
              <w:rPr>
                <w:rFonts w:ascii="Arial" w:cs="Arial" w:eastAsia="Arial" w:hAnsi="Arial"/>
                <w:sz w:val="18"/>
                <w:szCs w:val="18"/>
                <w:color w:val="auto"/>
              </w:rPr>
              <w:t>Balance as of December 29, 2019</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related to prior periods</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9920" w:type="dxa"/>
            <w:vAlign w:val="bottom"/>
          </w:tcPr>
          <w:p>
            <w:pPr>
              <w:ind w:left="20"/>
              <w:spacing w:after="0"/>
              <w:rPr>
                <w:sz w:val="20"/>
                <w:szCs w:val="20"/>
                <w:color w:val="auto"/>
              </w:rPr>
            </w:pPr>
            <w:r>
              <w:rPr>
                <w:rFonts w:ascii="Arial" w:cs="Arial" w:eastAsia="Arial" w:hAnsi="Arial"/>
                <w:sz w:val="18"/>
                <w:szCs w:val="18"/>
                <w:color w:val="auto"/>
              </w:rPr>
              <w:t>Increases related to current year tax positions</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Expiration of applicable statutes of limitations</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Decreases related to settlement with tax authorities</w:t>
            </w: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27, 2020</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Included in the balance of unrecognized tax benefits at December 27, 2020, are $25.4 million of tax benefits that, if recognized, would affect the effective tax rate. Included in this amount is $11.3 million that would become a deferred tax asset if the tax benefit were recognized. As such, this benefit may be impacted by a corresponding valuation allowance depending upon the Company’s assessment of the realizability of the deferred tax asset at the time the benefits are recognized.</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recognizes interest and penalties related to unrecognized tax benefits in its provision for income taxes. For the years ended December 27, 2020, December 29, 2019 and December 30, 2018, the Company recorded $1.9 million, $1.3 million, and $0.6 million, respectively, in interest or penalty expenses. These amounts are netted by a benefit for interest and penalties related to the reversal of prior positions and the disposition of PSS in 2018 of $0.2 million, $0.1 million, and $1.1 million for the years ended December 27, 2020, December 29, 2019, and December 30, 2018, respectively. As of December 27, 2020, December 29, 2019, and December 30, 2018, the Company had accrued total interest and penalties of $4.5 million, $2.8 million and $1.6 million, respectively.</w:t>
      </w:r>
    </w:p>
    <w:p>
      <w:pPr>
        <w:spacing w:after="0" w:line="21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Company believes that it is reasonably possible that as much as $0.3 million of the liabilities for uncertain tax positions will expire within 12 months of December 27, 2020 due to the expiration of various applicable statues of limitations.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98" w:name="page99"/>
    <w:bookmarkEnd w:id="98"/>
    <w:p>
      <w:pPr>
        <w:spacing w:after="0"/>
        <w:tabs>
          <w:tab w:leader="none" w:pos="7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Discontinued Operations</w:t>
      </w:r>
    </w:p>
    <w:p>
      <w:pPr>
        <w:spacing w:after="0" w:line="229"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On February 28, 2018, the Company entered into a Stock Purchase Agreement to sell the operations of Kratos Public Safety &amp; Security Solutions, Inc., a Delaware corporation and wholly owned subsidiary of the Company (“PSS”), to Securitas Electronic Security, Inc., a Delaware corporation (“Buyer”). On June 11, 2018, the Company completed the sale of all of the issued and outstanding capital stock of PSS to Buyer for a purchase price of $69 million in cash, subject to a closing net working capital adjustment (the “Transaction”). To date, the Company has received approximately $70 million of aggregate net cash proceeds from the Transaction, after taking into account amounts that were paid by the Company pursuant to a negotiated transaction services agreement between the Company and the Buyer, receipt of approximately $6.8 million in net working capital retained by the Company, and associated transaction fees and expenses, excluding the impact of the final settlement and determination of the closing net working capital adjustment. The Company and the Buyer are currently in a dispute regarding the closing net working capital adjustment. The amount in dispute is approximately $8 million. The Company has recorded a net break-even on the sale of the PSS business which includes the aggregate net proceeds described above that have been collected, excluding the impact of the final settlement and determination of the closing net working capital adjustment. The resolution of the ongoing dispute will be recorded in future periods when resolved.</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In accordance with ASC 360-10-45-9,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(Topic 360) and ASC 205-20-45-3 </w:t>
      </w:r>
      <w:r>
        <w:rPr>
          <w:rFonts w:ascii="Arial" w:cs="Arial" w:eastAsia="Arial" w:hAnsi="Arial"/>
          <w:sz w:val="16"/>
          <w:szCs w:val="16"/>
          <w:i w:val="1"/>
          <w:iCs w:val="1"/>
          <w:color w:val="auto"/>
        </w:rPr>
        <w:t>Presentation of Financial Statements</w:t>
      </w:r>
    </w:p>
    <w:p>
      <w:pPr>
        <w:spacing w:after="0" w:line="46"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(Topic 205), PSS and its subsidiaries have been reported in discontinued operations in the accompanying consolidated financial statements for all periods presented.</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Year ended</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Year ended</w:t>
            </w:r>
          </w:p>
        </w:tc>
        <w:tc>
          <w:tcPr>
            <w:tcW w:w="200" w:type="dxa"/>
            <w:vAlign w:val="bottom"/>
          </w:tcPr>
          <w:p>
            <w:pPr>
              <w:spacing w:after="0"/>
              <w:rPr>
                <w:sz w:val="14"/>
                <w:szCs w:val="14"/>
                <w:color w:val="auto"/>
              </w:rPr>
            </w:pPr>
          </w:p>
        </w:tc>
        <w:tc>
          <w:tcPr>
            <w:tcW w:w="1120" w:type="dxa"/>
            <w:vAlign w:val="bottom"/>
          </w:tcPr>
          <w:p>
            <w:pPr>
              <w:jc w:val="right"/>
              <w:ind w:right="232"/>
              <w:spacing w:after="0"/>
              <w:rPr>
                <w:sz w:val="20"/>
                <w:szCs w:val="20"/>
                <w:color w:val="auto"/>
              </w:rPr>
            </w:pPr>
            <w:r>
              <w:rPr>
                <w:rFonts w:ascii="Arial" w:cs="Arial" w:eastAsia="Arial" w:hAnsi="Arial"/>
                <w:sz w:val="14"/>
                <w:szCs w:val="14"/>
                <w:b w:val="1"/>
                <w:bCs w:val="1"/>
                <w:color w:val="auto"/>
              </w:rPr>
              <w:t>Year ended</w:t>
            </w:r>
          </w:p>
        </w:tc>
      </w:tr>
      <w:tr>
        <w:trPr>
          <w:trHeight w:val="188"/>
        </w:trPr>
        <w:tc>
          <w:tcPr>
            <w:tcW w:w="7000" w:type="dxa"/>
            <w:vAlign w:val="bottom"/>
          </w:tcPr>
          <w:p>
            <w:pPr>
              <w:spacing w:after="0"/>
              <w:rPr>
                <w:sz w:val="16"/>
                <w:szCs w:val="16"/>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27, 2020</w:t>
            </w:r>
          </w:p>
        </w:tc>
        <w:tc>
          <w:tcPr>
            <w:tcW w:w="14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29, 2019</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30, 2018</w:t>
            </w:r>
          </w:p>
        </w:tc>
      </w:tr>
      <w:tr>
        <w:trPr>
          <w:trHeight w:val="224"/>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3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discontinued operations before income taxes</w:t>
            </w: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Gain on disposal of discontinued operations before income taxes</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gain (loss) of discontinued operations before income taxes</w:t>
            </w: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 expense</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48"/>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Revenue and operating results for the year ended December 27, 2020 reflect the performance on the contracts and working capital retained by the Company, as well as legal expenses related to the ongoing working capital dispute. Included in the year ended December 29, 2019, is a $3.6 million gain recorded as a result of the release of an indemnification liability following the lapse of the statute of limitations associated with a potential tax liability that was recorded in 2015 as part of the previous sale of our Electronic Products Division. Discontinued operations for year ended December 30, 2018 were impacted by approximately $2.0 million of cost adjustments on certain security system deployment projects for a mass transit authority. Transaction expenses of $2.7 million, primarily comprised of investment advisory fees, legal fees, and other direct transaction expenses related to the Transaction, were included in Other (income) expense items that are not major for the year ended December 30, 2018. Depreciation expense included in Selling, general and administrative expenses was $0.0 million, $0.0 million and $0.1 million for the years ended December 27, 2020, December 29, 2019, and December 30, 2018 respectively.</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Intra-period tax allocation rules require the Company to allocate its provision for income taxes between continuing operations and other categories of earnings. Upon closing of the PSS sale, amounts historically carried as unrecognized tax benefits were reclassified to guarantor liability in accordance with ASC 460. As a result of the reclassification, the Company recorded a $2.1 million tax benefit in discontinued operations for the year ended December 30, 2018.</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99" w:name="page100"/>
    <w:bookmarkEnd w:id="99"/>
    <w:p>
      <w:pPr>
        <w:ind w:left="660"/>
        <w:spacing w:after="0"/>
        <w:rPr>
          <w:sz w:val="20"/>
          <w:szCs w:val="20"/>
          <w:color w:val="auto"/>
        </w:rPr>
      </w:pPr>
      <w:r>
        <w:rPr>
          <w:rFonts w:ascii="Arial" w:cs="Arial" w:eastAsia="Arial" w:hAnsi="Arial"/>
          <w:sz w:val="16"/>
          <w:szCs w:val="16"/>
          <w:color w:val="auto"/>
        </w:rPr>
        <w:t>The following is a summary of the assets and liabilities of discontinued operations as of December 27, 2020 and December 29, 2019 (in millions):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27, 2020</w:t>
            </w:r>
          </w:p>
        </w:tc>
        <w:tc>
          <w:tcPr>
            <w:tcW w:w="160" w:type="dxa"/>
            <w:vAlign w:val="bottom"/>
          </w:tcPr>
          <w:p>
            <w:pPr>
              <w:spacing w:after="0"/>
              <w:rPr>
                <w:sz w:val="16"/>
                <w:szCs w:val="16"/>
                <w:color w:val="auto"/>
              </w:rPr>
            </w:pPr>
          </w:p>
        </w:tc>
        <w:tc>
          <w:tcPr>
            <w:tcW w:w="1460" w:type="dxa"/>
            <w:vAlign w:val="bottom"/>
          </w:tcPr>
          <w:p>
            <w:pPr>
              <w:jc w:val="right"/>
              <w:ind w:right="132"/>
              <w:spacing w:after="0"/>
              <w:rPr>
                <w:sz w:val="20"/>
                <w:szCs w:val="20"/>
                <w:color w:val="auto"/>
              </w:rPr>
            </w:pPr>
            <w:r>
              <w:rPr>
                <w:rFonts w:ascii="Arial" w:cs="Arial" w:eastAsia="Arial" w:hAnsi="Arial"/>
                <w:sz w:val="14"/>
                <w:szCs w:val="14"/>
                <w:b w:val="1"/>
                <w:bCs w:val="1"/>
                <w:color w:val="auto"/>
                <w:w w:val="96"/>
              </w:rPr>
              <w:t>December 29, 2019</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196"/>
        </w:trPr>
        <w:tc>
          <w:tcPr>
            <w:tcW w:w="7840" w:type="dxa"/>
            <w:vAlign w:val="bottom"/>
          </w:tcPr>
          <w:p>
            <w:pPr>
              <w:ind w:left="20"/>
              <w:spacing w:after="0" w:line="196" w:lineRule="exact"/>
              <w:rPr>
                <w:sz w:val="20"/>
                <w:szCs w:val="20"/>
                <w:color w:val="auto"/>
              </w:rPr>
            </w:pPr>
            <w:r>
              <w:rPr>
                <w:rFonts w:ascii="Arial" w:cs="Arial" w:eastAsia="Arial" w:hAnsi="Arial"/>
                <w:sz w:val="18"/>
                <w:szCs w:val="18"/>
                <w:color w:val="auto"/>
              </w:rPr>
              <w:t>Current assets of discontinued operations</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Current liabilities of discontinued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 of discontinued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Fair Value Measurement</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ASC Topic 820</w:t>
      </w:r>
      <w:r>
        <w:rPr>
          <w:rFonts w:ascii="Arial" w:cs="Arial" w:eastAsia="Arial" w:hAnsi="Arial"/>
          <w:sz w:val="17"/>
          <w:szCs w:val="17"/>
          <w:i w:val="1"/>
          <w:iCs w:val="1"/>
          <w:color w:val="auto"/>
        </w:rPr>
        <w:t>, Fair Value Measurement,</w:t>
      </w:r>
      <w:r>
        <w:rPr>
          <w:rFonts w:ascii="Arial" w:cs="Arial" w:eastAsia="Arial" w:hAnsi="Arial"/>
          <w:sz w:val="17"/>
          <w:szCs w:val="17"/>
          <w:color w:val="auto"/>
        </w:rPr>
        <w:t xml:space="preserve"> establishes a valuation hierarchy for disclosure of the inputs to valuation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20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Stockholders’ Equity</w:t>
      </w:r>
    </w:p>
    <w:p>
      <w:pPr>
        <w:spacing w:after="0" w:line="225" w:lineRule="exact"/>
        <w:rPr>
          <w:sz w:val="20"/>
          <w:szCs w:val="20"/>
          <w:color w:val="auto"/>
        </w:rPr>
      </w:pPr>
    </w:p>
    <w:p>
      <w:pPr>
        <w:ind w:left="400" w:hanging="392"/>
        <w:spacing w:after="0"/>
        <w:tabs>
          <w:tab w:leader="none" w:pos="4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70" w:lineRule="exact"/>
        <w:rPr>
          <w:sz w:val="20"/>
          <w:szCs w:val="20"/>
          <w:color w:val="auto"/>
        </w:rPr>
      </w:pPr>
    </w:p>
    <w:p>
      <w:pPr>
        <w:ind w:right="20" w:firstLine="198"/>
        <w:spacing w:after="0" w:line="257" w:lineRule="auto"/>
        <w:rPr>
          <w:sz w:val="20"/>
          <w:szCs w:val="20"/>
          <w:color w:val="auto"/>
        </w:rPr>
      </w:pPr>
      <w:r>
        <w:rPr>
          <w:rFonts w:ascii="Arial" w:cs="Arial" w:eastAsia="Arial" w:hAnsi="Arial"/>
          <w:sz w:val="18"/>
          <w:szCs w:val="18"/>
          <w:color w:val="auto"/>
        </w:rPr>
        <w:t>On June 23, 2020, the Company sold 15,525,000 shares of common stock at a purchase price of $16.25 per share in an underwritten public offering. The Company received gross proceeds of approximately $252.3 million. After deducting underwriting fees and other offering expenses, the Company received approximately $240.4 million in net proceeds. The Company expects to use the net proceeds for general corporate purposes, including for potential strategic “tuck-in” acquisitions, to further position the Company for projected growth from new and anticipated increased production and to facilitate its long-term strategy.</w:t>
      </w:r>
    </w:p>
    <w:p>
      <w:pPr>
        <w:spacing w:after="0" w:line="21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Stock Option Plans and Restricted Stock Unit Plans</w:t>
      </w:r>
    </w:p>
    <w:p>
      <w:pPr>
        <w:spacing w:after="0" w:line="25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March 2014 the Company’s board of directors (the “Board”) approved the 2014 Equity Incentive Plan (the “2014 Plan”). The 2014 Plan is the successor to the Kratos Defense &amp; Security Solutions, Inc. 2011 Equity Incentive Plan, the Kratos Defense &amp; Security Solutions, Inc. Amended and Restated 2005 Equity Incentive Plan, the Kratos Defense &amp; Security Solutions, Inc. 2000 Nonstatutory Stock Option Plan, the Kratos Defense &amp; Security Solutions, Inc. 1999 Equity Incentive Plan, the Amended and Restated Integral Systems, Inc. 2008 Stock Incentive Plan, the Amended and Restated Herley Industries, Inc. 2010 Stock Plan, the Herley Industries, Inc. 2003 Stock Option Plan, the Henry Bros. Electronics, Inc. 2007 Stock Option Plan, the Henry Bros. Electronics, Inc. 2006 Stock Option Plan, the Amended and Restated 2005 Digital Fusion, Inc. Equity Incentive Plan, the 2000 Digital Fusion, Inc. Stock Option Plan, the 1999 Digital Fusion, Inc. Stock Option Plan, and the 1998 Digital Fusion, Inc. Stock Option Plan (collectively, the “Prior Plans”).</w:t>
      </w:r>
    </w:p>
    <w:p>
      <w:pPr>
        <w:spacing w:after="0" w:line="193" w:lineRule="exact"/>
        <w:rPr>
          <w:sz w:val="20"/>
          <w:szCs w:val="20"/>
          <w:color w:val="auto"/>
        </w:rPr>
      </w:pPr>
    </w:p>
    <w:p>
      <w:pPr>
        <w:ind w:right="220" w:firstLine="648"/>
        <w:spacing w:after="0" w:line="286" w:lineRule="auto"/>
        <w:rPr>
          <w:sz w:val="20"/>
          <w:szCs w:val="20"/>
          <w:color w:val="auto"/>
        </w:rPr>
      </w:pPr>
      <w:r>
        <w:rPr>
          <w:rFonts w:ascii="Arial" w:cs="Arial" w:eastAsia="Arial" w:hAnsi="Arial"/>
          <w:sz w:val="16"/>
          <w:szCs w:val="16"/>
          <w:color w:val="auto"/>
        </w:rPr>
        <w:t>The 2014 Plan became effective May 14, 2014 and no additional stock awards will be granted under the Prior Plans as of April 1, 2014. All outstanding stock awards granted subject to the terms of the Prior Plans will continue to be subject to the terms and conditions as set forth in the agreements evidencing such stock awards and the terms of the respective Prior Plans. Any shares subject to outstanding stock awards granted under the Prior Plans or granted outside of a Prior Plan that, at any time after March 27, 2014, (i) expire or terminate for any reason prior to exercise or settlement;</w:t>
      </w:r>
    </w:p>
    <w:p>
      <w:pPr>
        <w:spacing w:after="0" w:line="1" w:lineRule="exact"/>
        <w:rPr>
          <w:sz w:val="20"/>
          <w:szCs w:val="20"/>
          <w:color w:val="auto"/>
        </w:rPr>
      </w:pPr>
    </w:p>
    <w:p>
      <w:pPr>
        <w:ind w:left="280" w:hanging="272"/>
        <w:spacing w:after="0"/>
        <w:tabs>
          <w:tab w:leader="none" w:pos="2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are forfeited, canceled or otherwise returned to the Company because of the failure to meet a contingency or condition required to vest such shares; or</w:t>
      </w:r>
    </w:p>
    <w:p>
      <w:pPr>
        <w:spacing w:after="0" w:line="32" w:lineRule="exact"/>
        <w:rPr>
          <w:rFonts w:ascii="Arial" w:cs="Arial" w:eastAsia="Arial" w:hAnsi="Arial"/>
          <w:sz w:val="16"/>
          <w:szCs w:val="16"/>
          <w:color w:val="auto"/>
        </w:rPr>
      </w:pPr>
    </w:p>
    <w:p>
      <w:pPr>
        <w:ind w:right="120" w:firstLine="8"/>
        <w:spacing w:after="0" w:line="255" w:lineRule="auto"/>
        <w:tabs>
          <w:tab w:leader="none" w:pos="3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are reacquired, withheld (or not issued) to satisfy a tax withholding obligation in connection with an award or to satisfy the purchase price or exercise price of a stock award (collectively, the “Returning Shares”) will immediately be added to the share reserve of the 2014 Plan and become available for issuance pursuant to stock awards granted under the 2014 Plan.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00" w:name="page101"/>
    <w:bookmarkEnd w:id="100"/>
    <w:p>
      <w:pPr>
        <w:ind w:right="100" w:firstLine="648"/>
        <w:spacing w:after="0" w:line="272" w:lineRule="auto"/>
        <w:rPr>
          <w:sz w:val="20"/>
          <w:szCs w:val="20"/>
          <w:color w:val="auto"/>
        </w:rPr>
      </w:pPr>
      <w:r>
        <w:rPr>
          <w:rFonts w:ascii="Arial" w:cs="Arial" w:eastAsia="Arial" w:hAnsi="Arial"/>
          <w:sz w:val="17"/>
          <w:szCs w:val="17"/>
          <w:color w:val="auto"/>
        </w:rPr>
        <w:t>As of March 27, 2014, there were 2,306,256 shares remaining available for issuance under the Prior Plans. The total number of awards outstanding under all of the Prior Plans and outside of any Prior Plan was 5,511,322 as of March 27, 2014. The 2014 Plan decreased the number of shares remaining available for issuance under its equity compensation plans from 2,306,256 to 1,550,000, although, per the 2014 Plan, up to 5,511,322 shares subject to outstanding awards under the Prior Plans and non-plan grants could potentially become Returning Shares available for issuance under the 2014 Plan. In May 2017, the Company’s shareholders approved an amendment to the 2014 Plan to increase the aggregate number of shares that may be issued under the plan by 2,500,000 shares. In June 2020, the Company’s shareholders approved an amendment to the 2014 Plan to increase the aggregate number of shares that may be issued under the plan by 4,700,000 shares.</w:t>
      </w:r>
    </w:p>
    <w:p>
      <w:pPr>
        <w:spacing w:after="0" w:line="204"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Board may grant equity-based awards to selected employees, directors and consultants of the Company pursuant to its 2014 Plan. As of December 27, 2020, there were 5,259,403 shares reserved for issuance for future grant under the 2014 Plan. The Board may amend or terminate the 2014 Plan at any time. Certain amendments, including an increase in the share reserve, require stockholder approval. Generally, options and restricted stock units outstanding vest over periods not exceeding ten years. When the Company grants stock options, they are granted with a per share exercise price not less than the fair market value of the Company’s common stock on the date of grant, and generally would be exercisable for up to ten years from the grant date.</w:t>
      </w:r>
    </w:p>
    <w:p>
      <w:pPr>
        <w:spacing w:after="0" w:line="188"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The Company records compensation expense for employee stock options based on the estimated fair value of the options on the date of grant using the Black-Scholes option-pricing model or a trinomial lattice options pricing model with the weighted average assumptions (annualized percentages) included in the following table. Awards with graded vesting are recognized using the straight-line method with the following assumptions:</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6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15"/>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Expected life</w:t>
            </w: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0.0</w:t>
            </w:r>
          </w:p>
        </w:tc>
        <w:tc>
          <w:tcPr>
            <w:tcW w:w="100" w:type="dxa"/>
            <w:vAlign w:val="bottom"/>
          </w:tcPr>
          <w:p>
            <w:pPr>
              <w:spacing w:after="0"/>
              <w:rPr>
                <w:sz w:val="19"/>
                <w:szCs w:val="19"/>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85"/>
              </w:rPr>
              <w:t>10.0</w:t>
            </w:r>
          </w:p>
        </w:tc>
        <w:tc>
          <w:tcPr>
            <w:tcW w:w="100" w:type="dxa"/>
            <w:vAlign w:val="bottom"/>
          </w:tcPr>
          <w:p>
            <w:pPr>
              <w:spacing w:after="0"/>
              <w:rPr>
                <w:sz w:val="19"/>
                <w:szCs w:val="19"/>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91"/>
              </w:rPr>
              <w:t>10.0</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rate(1)</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- 3.2%</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Volatility(2)</w:t>
            </w: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47.5%</w:t>
            </w:r>
          </w:p>
        </w:tc>
        <w:tc>
          <w:tcPr>
            <w:tcW w:w="780" w:type="dxa"/>
            <w:vAlign w:val="bottom"/>
          </w:tcPr>
          <w:p>
            <w:pPr>
              <w:ind w:left="20"/>
              <w:spacing w:after="0"/>
              <w:rPr>
                <w:sz w:val="20"/>
                <w:szCs w:val="20"/>
                <w:color w:val="auto"/>
              </w:rPr>
            </w:pPr>
            <w:r>
              <w:rPr>
                <w:rFonts w:ascii="Arial" w:cs="Arial" w:eastAsia="Arial" w:hAnsi="Arial"/>
                <w:sz w:val="18"/>
                <w:szCs w:val="18"/>
                <w:color w:val="auto"/>
              </w:rPr>
              <w:t>- 49.1%</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52.9%</w:t>
            </w:r>
          </w:p>
        </w:tc>
        <w:tc>
          <w:tcPr>
            <w:tcW w:w="760" w:type="dxa"/>
            <w:vAlign w:val="bottom"/>
          </w:tcPr>
          <w:p>
            <w:pPr>
              <w:ind w:left="20"/>
              <w:spacing w:after="0"/>
              <w:rPr>
                <w:sz w:val="20"/>
                <w:szCs w:val="20"/>
                <w:color w:val="auto"/>
              </w:rPr>
            </w:pPr>
            <w:r>
              <w:rPr>
                <w:rFonts w:ascii="Arial" w:cs="Arial" w:eastAsia="Arial" w:hAnsi="Arial"/>
                <w:sz w:val="18"/>
                <w:szCs w:val="18"/>
                <w:color w:val="auto"/>
              </w:rPr>
              <w:t>- 53.4%</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Forfeiture rate(3)</w:t>
            </w: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5.1%</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5.1%</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Dividend yield(4)</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93"/>
              </w:rPr>
              <w:t>—%</w:t>
            </w:r>
          </w:p>
        </w:tc>
      </w:tr>
    </w:tbl>
    <w:p>
      <w:pPr>
        <w:spacing w:after="0" w:line="322" w:lineRule="exact"/>
        <w:rPr>
          <w:sz w:val="20"/>
          <w:szCs w:val="20"/>
          <w:color w:val="auto"/>
        </w:rPr>
      </w:pPr>
    </w:p>
    <w:p>
      <w:pPr>
        <w:ind w:left="1620" w:right="480" w:hanging="640"/>
        <w:spacing w:after="0" w:line="258" w:lineRule="auto"/>
        <w:tabs>
          <w:tab w:leader="none" w:pos="122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risk-free interest rate is based on U.S. Treasury yields in effect at the time of grant with a term equal to the expected term of the options.</w:t>
      </w:r>
    </w:p>
    <w:p>
      <w:pPr>
        <w:spacing w:after="0" w:line="1" w:lineRule="exact"/>
        <w:rPr>
          <w:rFonts w:ascii="Arial" w:cs="Arial" w:eastAsia="Arial" w:hAnsi="Arial"/>
          <w:sz w:val="18"/>
          <w:szCs w:val="18"/>
          <w:color w:val="auto"/>
        </w:rPr>
      </w:pPr>
    </w:p>
    <w:p>
      <w:pPr>
        <w:ind w:left="1240" w:hanging="260"/>
        <w:spacing w:after="0"/>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2020, 2019, and 2018, the Company estimated implied volatility based upon trailing volatility.</w:t>
      </w:r>
    </w:p>
    <w:p>
      <w:pPr>
        <w:spacing w:after="0" w:line="9" w:lineRule="exact"/>
        <w:rPr>
          <w:rFonts w:ascii="Arial" w:cs="Arial" w:eastAsia="Arial" w:hAnsi="Arial"/>
          <w:sz w:val="18"/>
          <w:szCs w:val="18"/>
          <w:color w:val="auto"/>
        </w:rPr>
      </w:pPr>
    </w:p>
    <w:p>
      <w:pPr>
        <w:ind w:left="1620" w:right="320" w:hanging="640"/>
        <w:spacing w:after="0" w:line="250" w:lineRule="auto"/>
        <w:tabs>
          <w:tab w:leader="none" w:pos="1227"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Forfeitures are estimated at the time of grant based upon historical information. Forfeitures will be revised, if necessary, in subsequent periods if actual forfeitures differ from estimates.</w:t>
      </w:r>
    </w:p>
    <w:p>
      <w:pPr>
        <w:ind w:left="1240" w:hanging="260"/>
        <w:spacing w:after="0"/>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common stock.</w:t>
      </w:r>
    </w:p>
    <w:p>
      <w:pPr>
        <w:spacing w:after="0" w:line="23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 summary of the status of the Company’s stock option plan as of December 27, 2020, and changes in options outstanding under the plan for the year ended December 27, 2020, is as follows:</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3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1"/>
                <w:szCs w:val="11"/>
                <w:color w:val="auto"/>
              </w:rPr>
            </w:pPr>
          </w:p>
        </w:tc>
        <w:tc>
          <w:tcPr>
            <w:tcW w:w="90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Shares Under</w:t>
            </w:r>
          </w:p>
        </w:tc>
        <w:tc>
          <w:tcPr>
            <w:tcW w:w="100" w:type="dxa"/>
            <w:vAlign w:val="bottom"/>
          </w:tcPr>
          <w:p>
            <w:pPr>
              <w:spacing w:after="0"/>
              <w:rPr>
                <w:sz w:val="11"/>
                <w:szCs w:val="11"/>
                <w:color w:val="auto"/>
              </w:rPr>
            </w:pPr>
          </w:p>
        </w:tc>
        <w:tc>
          <w:tcPr>
            <w:tcW w:w="11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Exercise Price</w:t>
            </w: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Term</w:t>
            </w:r>
          </w:p>
        </w:tc>
        <w:tc>
          <w:tcPr>
            <w:tcW w:w="1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per Share</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84"/>
        </w:trPr>
        <w:tc>
          <w:tcPr>
            <w:tcW w:w="636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(000’s)</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center"/>
              <w:ind w:right="77"/>
              <w:spacing w:after="0"/>
              <w:rPr>
                <w:sz w:val="20"/>
                <w:szCs w:val="20"/>
                <w:color w:val="auto"/>
              </w:rPr>
            </w:pPr>
            <w:r>
              <w:rPr>
                <w:rFonts w:ascii="Arial" w:cs="Arial" w:eastAsia="Arial" w:hAnsi="Arial"/>
                <w:sz w:val="14"/>
                <w:szCs w:val="14"/>
                <w:b w:val="1"/>
                <w:bCs w:val="1"/>
                <w:color w:val="auto"/>
                <w:w w:val="94"/>
              </w:rPr>
              <w:t>(000’s)</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Options outstanding at December 29, 2019</w:t>
            </w:r>
          </w:p>
        </w:tc>
        <w:tc>
          <w:tcPr>
            <w:tcW w:w="1200" w:type="dxa"/>
            <w:vAlign w:val="bottom"/>
          </w:tcPr>
          <w:p>
            <w:pPr>
              <w:jc w:val="right"/>
              <w:spacing w:after="0"/>
              <w:rPr>
                <w:sz w:val="20"/>
                <w:szCs w:val="20"/>
                <w:color w:val="auto"/>
              </w:rPr>
            </w:pPr>
            <w:r>
              <w:rPr>
                <w:rFonts w:ascii="Arial" w:cs="Arial" w:eastAsia="Arial" w:hAnsi="Arial"/>
                <w:sz w:val="18"/>
                <w:szCs w:val="18"/>
                <w:color w:val="auto"/>
              </w:rPr>
              <w:t>146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1,866.3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200" w:type="dxa"/>
            <w:vAlign w:val="bottom"/>
          </w:tcPr>
          <w:p>
            <w:pPr>
              <w:jc w:val="right"/>
              <w:spacing w:after="0"/>
              <w:rPr>
                <w:sz w:val="20"/>
                <w:szCs w:val="20"/>
                <w:color w:val="auto"/>
              </w:rPr>
            </w:pPr>
            <w:r>
              <w:rPr>
                <w:rFonts w:ascii="Arial" w:cs="Arial" w:eastAsia="Arial" w:hAnsi="Arial"/>
                <w:sz w:val="18"/>
                <w:szCs w:val="18"/>
                <w:color w:val="auto"/>
              </w:rPr>
              <w:t>(104)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or expired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Options outstanding at December 27, 2020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897.9</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 at December 27, 2020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exercise of an option, the Company issues new shares of common stock.</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01" w:name="page102"/>
    <w:bookmarkEnd w:id="101"/>
    <w:p>
      <w:pPr>
        <w:ind w:right="200" w:firstLine="648"/>
        <w:spacing w:after="0" w:line="277" w:lineRule="auto"/>
        <w:rPr>
          <w:sz w:val="20"/>
          <w:szCs w:val="20"/>
          <w:color w:val="auto"/>
        </w:rPr>
      </w:pPr>
      <w:r>
        <w:rPr>
          <w:rFonts w:ascii="Arial" w:cs="Arial" w:eastAsia="Arial" w:hAnsi="Arial"/>
          <w:sz w:val="18"/>
          <w:szCs w:val="18"/>
          <w:color w:val="auto"/>
        </w:rPr>
        <w:t>During the years ended December 27, 2020, December 29, 2019, and December 30, 2018, the following values relate to the grants and exercises under the Company’s option plans:</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0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r>
      <w:tr>
        <w:trPr>
          <w:trHeight w:val="229"/>
        </w:trPr>
        <w:tc>
          <w:tcPr>
            <w:tcW w:w="20" w:type="dxa"/>
            <w:vAlign w:val="bottom"/>
          </w:tcPr>
          <w:p>
            <w:pPr>
              <w:spacing w:after="0"/>
              <w:rPr>
                <w:sz w:val="19"/>
                <w:szCs w:val="19"/>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of options granted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r>
      <w:tr>
        <w:trPr>
          <w:trHeight w:val="230"/>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Total intrinsic value of options exercised (in thousands)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1,446.4</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8,874.9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553"/>
        </w:trPr>
        <w:tc>
          <w:tcPr>
            <w:tcW w:w="20" w:type="dxa"/>
            <w:vAlign w:val="bottom"/>
          </w:tcPr>
          <w:p>
            <w:pPr>
              <w:spacing w:after="0"/>
              <w:rPr>
                <w:sz w:val="24"/>
                <w:szCs w:val="24"/>
                <w:color w:val="auto"/>
              </w:rPr>
            </w:pPr>
          </w:p>
        </w:tc>
        <w:tc>
          <w:tcPr>
            <w:tcW w:w="7000" w:type="dxa"/>
            <w:vAlign w:val="bottom"/>
          </w:tcPr>
          <w:p>
            <w:pPr>
              <w:ind w:left="620"/>
              <w:spacing w:after="0"/>
              <w:rPr>
                <w:sz w:val="20"/>
                <w:szCs w:val="20"/>
                <w:color w:val="auto"/>
              </w:rPr>
            </w:pPr>
            <w:r>
              <w:rPr>
                <w:rFonts w:ascii="Arial" w:cs="Arial" w:eastAsia="Arial" w:hAnsi="Arial"/>
                <w:sz w:val="18"/>
                <w:szCs w:val="18"/>
                <w:color w:val="auto"/>
              </w:rPr>
              <w:t>The following table summarizes the Company’s Restricted Stock Unit activity:</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27"/>
        </w:trPr>
        <w:tc>
          <w:tcPr>
            <w:tcW w:w="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gridSpan w:val="2"/>
          </w:tcPr>
          <w:p>
            <w:pPr>
              <w:jc w:val="center"/>
              <w:ind w:left="77"/>
              <w:spacing w:after="0"/>
              <w:rPr>
                <w:sz w:val="20"/>
                <w:szCs w:val="20"/>
                <w:color w:val="auto"/>
              </w:rPr>
            </w:pPr>
            <w:r>
              <w:rPr>
                <w:rFonts w:ascii="Arial" w:cs="Arial" w:eastAsia="Arial" w:hAnsi="Arial"/>
                <w:sz w:val="14"/>
                <w:szCs w:val="14"/>
                <w:b w:val="1"/>
                <w:bCs w:val="1"/>
                <w:color w:val="auto"/>
                <w:w w:val="90"/>
              </w:rPr>
              <w:t>Restricted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Weighted-</w:t>
            </w:r>
          </w:p>
        </w:tc>
      </w:tr>
      <w:tr>
        <w:trPr>
          <w:trHeight w:val="135"/>
        </w:trPr>
        <w:tc>
          <w:tcPr>
            <w:tcW w:w="2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2"/>
          </w:tcPr>
          <w:p>
            <w:pPr>
              <w:jc w:val="center"/>
              <w:ind w:left="77"/>
              <w:spacing w:after="0" w:line="135" w:lineRule="exact"/>
              <w:rPr>
                <w:sz w:val="20"/>
                <w:szCs w:val="20"/>
                <w:color w:val="auto"/>
              </w:rPr>
            </w:pPr>
            <w:r>
              <w:rPr>
                <w:rFonts w:ascii="Arial" w:cs="Arial" w:eastAsia="Arial" w:hAnsi="Arial"/>
                <w:sz w:val="14"/>
                <w:szCs w:val="14"/>
                <w:b w:val="1"/>
                <w:bCs w:val="1"/>
                <w:color w:val="auto"/>
                <w:w w:val="90"/>
              </w:rPr>
              <w:t>Stock Units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5"/>
              </w:rPr>
              <w:t>Average Grant</w:t>
            </w:r>
          </w:p>
        </w:tc>
      </w:tr>
      <w:tr>
        <w:trPr>
          <w:trHeight w:val="188"/>
        </w:trPr>
        <w:tc>
          <w:tcPr>
            <w:tcW w:w="20" w:type="dxa"/>
            <w:vAlign w:val="bottom"/>
            <w:tcBorders>
              <w:bottom w:val="single" w:sz="8" w:color="CCEEFF"/>
            </w:tcBorders>
          </w:tcPr>
          <w:p>
            <w:pPr>
              <w:spacing w:after="0"/>
              <w:rPr>
                <w:sz w:val="16"/>
                <w:szCs w:val="16"/>
                <w:color w:val="auto"/>
              </w:rPr>
            </w:pPr>
          </w:p>
        </w:tc>
        <w:tc>
          <w:tcPr>
            <w:tcW w:w="70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center"/>
              <w:ind w:left="77"/>
              <w:spacing w:after="0"/>
              <w:rPr>
                <w:sz w:val="20"/>
                <w:szCs w:val="20"/>
                <w:color w:val="auto"/>
              </w:rPr>
            </w:pPr>
            <w:r>
              <w:rPr>
                <w:rFonts w:ascii="Arial" w:cs="Arial" w:eastAsia="Arial" w:hAnsi="Arial"/>
                <w:sz w:val="14"/>
                <w:szCs w:val="14"/>
                <w:b w:val="1"/>
                <w:bCs w:val="1"/>
                <w:color w:val="auto"/>
                <w:w w:val="94"/>
              </w:rPr>
              <w:t>(000’s)</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Date Fair Value</w:t>
            </w:r>
          </w:p>
        </w:tc>
      </w:tr>
      <w:tr>
        <w:trPr>
          <w:trHeight w:val="224"/>
        </w:trPr>
        <w:tc>
          <w:tcPr>
            <w:tcW w:w="20" w:type="dxa"/>
            <w:vAlign w:val="bottom"/>
            <w:shd w:val="clear" w:color="auto" w:fill="CCEEFF"/>
          </w:tcPr>
          <w:p>
            <w:pPr>
              <w:spacing w:after="0"/>
              <w:rPr>
                <w:sz w:val="19"/>
                <w:szCs w:val="19"/>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December 29, 2019</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Grants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1,240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18.92</w:t>
            </w:r>
          </w:p>
        </w:tc>
      </w:tr>
      <w:tr>
        <w:trPr>
          <w:trHeight w:val="229"/>
        </w:trPr>
        <w:tc>
          <w:tcPr>
            <w:tcW w:w="20" w:type="dxa"/>
            <w:vAlign w:val="bottom"/>
            <w:shd w:val="clear" w:color="auto" w:fill="CCEEFF"/>
          </w:tcPr>
          <w:p>
            <w:pPr>
              <w:spacing w:after="0"/>
              <w:rPr>
                <w:sz w:val="19"/>
                <w:szCs w:val="19"/>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r>
      <w:tr>
        <w:trPr>
          <w:trHeight w:val="229"/>
        </w:trPr>
        <w:tc>
          <w:tcPr>
            <w:tcW w:w="20" w:type="dxa"/>
            <w:vAlign w:val="bottom"/>
            <w:tcBorders>
              <w:bottom w:val="single" w:sz="8" w:color="CCEEFF"/>
            </w:tcBorders>
          </w:tcPr>
          <w:p>
            <w:pPr>
              <w:spacing w:after="0"/>
              <w:rPr>
                <w:sz w:val="19"/>
                <w:szCs w:val="19"/>
                <w:color w:val="auto"/>
              </w:rPr>
            </w:pPr>
          </w:p>
        </w:tc>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Vested but not released</w:t>
            </w: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(140)</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13.54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balance at December 27, 2020</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As of December 27, 2020, there was $24.9 million of total unrecognized stock-based compensation expense related to nonvested restricted stock units which is expected to be recognized over a remaining weighted-average vesting period of 1.9 years. The fair value of restricted stock unit awards that vested in 2020, 2019, and 2018 was $4.6 million, $3.5 million, and $0.8 million, respectively.</w:t>
      </w:r>
    </w:p>
    <w:p>
      <w:pPr>
        <w:spacing w:after="0" w:line="20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Amended and Restated Employee Stock Purchase Plan</w:t>
      </w:r>
    </w:p>
    <w:p>
      <w:pPr>
        <w:spacing w:after="0" w:line="25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August 1999, the Board approved the 1999 Employee Stock Purchase Plan (as amended from time to time, the “Purchase Plan”). A total of 5,200,000 shares of common stock had been previously approved for reservation of the Company’s common stock for purchase by employees under the Purchase Plan. In May 2017, the Company’s shareholders approved an amendment to the Purchase Plan to increase the maximum number of shares of common stock that may be issued under the Purchase Plan by 3,000,000 shares. The Purchase Plan qualifies as an employee stock purchase plan within the meaning of Section 423 of the Internal Revenue Service Code. Unless otherwise determined by the Compensation Committee of the Board, all employees are eligible to participate in the Purchase Plan, so long as they are employed by the Company (or a subsidiary designated by the Board) for at least 20 hours per week and were customarily employed by the Company (or a subsidiary designated by the Board) for at least 5 months per calendar year.</w:t>
      </w:r>
    </w:p>
    <w:p>
      <w:pPr>
        <w:spacing w:after="0" w:line="19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Employees who actively participate in the Purchase Plan are eligible to have up to 15% of their earnings for each purchase period withheld pursuant to the Purchase Plan. The amount that is withheld is used at various purchase dates within the offering period to purchase shares of common stock. The price paid for common stock at each such purchase date is equal to the lower of 85% of the fair market value of the common stock at the commencement date of that offering period or 85% of the fair market value of the common stock on the relevant purchase date. Employees are also able to end their participation in the offering at any time during the offering period, and participation ends automatically upon termination of employment. From the Purchase Plan’s inception through December 27, 2020, the cumulative number of shares of common stock that have been issued under the Purchase Plan is 5.9 million and approximately 2.3 million shares are available for future issuance. During fiscal 2020, approximately 366,000 shares were issued under the plan at an average price of $14.21.</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02" w:name="page103"/>
    <w:bookmarkEnd w:id="102"/>
    <w:p>
      <w:pPr>
        <w:ind w:right="560" w:firstLine="648"/>
        <w:spacing w:after="0" w:line="277" w:lineRule="auto"/>
        <w:rPr>
          <w:sz w:val="20"/>
          <w:szCs w:val="20"/>
          <w:color w:val="auto"/>
        </w:rPr>
      </w:pPr>
      <w:r>
        <w:rPr>
          <w:rFonts w:ascii="Arial" w:cs="Arial" w:eastAsia="Arial" w:hAnsi="Arial"/>
          <w:sz w:val="18"/>
          <w:szCs w:val="18"/>
          <w:color w:val="auto"/>
        </w:rPr>
        <w:t>The fair value of Kratos’ Purchase Plan shares for 2020 was estimated using the Black-Scholes option pricing model. The assumptions and resulting fair values of options granted for 2020, 2019 and 2018 were as follows:</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Offering</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Offering</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5"/>
              </w:rPr>
              <w:t>Offering</w:t>
            </w:r>
          </w:p>
        </w:tc>
      </w:tr>
      <w:tr>
        <w:trPr>
          <w:trHeight w:val="135"/>
        </w:trPr>
        <w:tc>
          <w:tcPr>
            <w:tcW w:w="5980" w:type="dxa"/>
            <w:vAlign w:val="bottom"/>
          </w:tcPr>
          <w:p>
            <w:pPr>
              <w:spacing w:after="0"/>
              <w:rPr>
                <w:sz w:val="11"/>
                <w:szCs w:val="11"/>
                <w:color w:val="auto"/>
              </w:rPr>
            </w:pPr>
          </w:p>
        </w:tc>
        <w:tc>
          <w:tcPr>
            <w:tcW w:w="17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Periods</w:t>
            </w:r>
          </w:p>
        </w:tc>
        <w:tc>
          <w:tcPr>
            <w:tcW w:w="17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Periods</w:t>
            </w: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Periods</w:t>
            </w:r>
          </w:p>
        </w:tc>
      </w:tr>
      <w:tr>
        <w:trPr>
          <w:trHeight w:val="135"/>
        </w:trPr>
        <w:tc>
          <w:tcPr>
            <w:tcW w:w="5980" w:type="dxa"/>
            <w:vAlign w:val="bottom"/>
          </w:tcPr>
          <w:p>
            <w:pPr>
              <w:spacing w:after="0"/>
              <w:rPr>
                <w:sz w:val="11"/>
                <w:szCs w:val="11"/>
                <w:color w:val="auto"/>
              </w:rPr>
            </w:pPr>
          </w:p>
        </w:tc>
        <w:tc>
          <w:tcPr>
            <w:tcW w:w="17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January 1 to</w:t>
            </w:r>
          </w:p>
        </w:tc>
        <w:tc>
          <w:tcPr>
            <w:tcW w:w="17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January 1 to</w:t>
            </w: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January 1 to</w:t>
            </w:r>
          </w:p>
        </w:tc>
      </w:tr>
      <w:tr>
        <w:trPr>
          <w:trHeight w:val="135"/>
        </w:trPr>
        <w:tc>
          <w:tcPr>
            <w:tcW w:w="5980" w:type="dxa"/>
            <w:vAlign w:val="bottom"/>
          </w:tcPr>
          <w:p>
            <w:pPr>
              <w:spacing w:after="0"/>
              <w:rPr>
                <w:sz w:val="11"/>
                <w:szCs w:val="11"/>
                <w:color w:val="auto"/>
              </w:rPr>
            </w:pPr>
          </w:p>
        </w:tc>
        <w:tc>
          <w:tcPr>
            <w:tcW w:w="17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December 31</w:t>
            </w:r>
          </w:p>
        </w:tc>
        <w:tc>
          <w:tcPr>
            <w:tcW w:w="17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December 31</w:t>
            </w: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December 31,</w:t>
            </w:r>
          </w:p>
        </w:tc>
      </w:tr>
      <w:tr>
        <w:trPr>
          <w:trHeight w:val="188"/>
        </w:trPr>
        <w:tc>
          <w:tcPr>
            <w:tcW w:w="598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years)(1)</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Risk-free interest rate(2)</w:t>
            </w: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0.18% - 1.60%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2.09% - 2.56%</w:t>
            </w:r>
          </w:p>
        </w:tc>
        <w:tc>
          <w:tcPr>
            <w:tcW w:w="1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1.53% - 2.11%</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volatility(3)</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82.75% - 44.14%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37.22% - 43.70%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40.24% - 44.83%</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Expected dividend yield(4)</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grant-date fair value per share</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$5.43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$4.74</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$3.03</w:t>
            </w:r>
          </w:p>
        </w:tc>
      </w:tr>
    </w:tbl>
    <w:p>
      <w:pPr>
        <w:spacing w:after="0" w:line="323" w:lineRule="exact"/>
        <w:rPr>
          <w:sz w:val="20"/>
          <w:szCs w:val="20"/>
          <w:color w:val="auto"/>
        </w:rPr>
      </w:pPr>
    </w:p>
    <w:p>
      <w:pPr>
        <w:ind w:left="1360" w:hanging="380"/>
        <w:spacing w:after="0"/>
        <w:tabs>
          <w:tab w:leader="none" w:pos="1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expected term is equivalent to the offering period.</w:t>
      </w:r>
    </w:p>
    <w:p>
      <w:pPr>
        <w:spacing w:after="0" w:line="23" w:lineRule="exact"/>
        <w:rPr>
          <w:rFonts w:ascii="Arial" w:cs="Arial" w:eastAsia="Arial" w:hAnsi="Arial"/>
          <w:sz w:val="18"/>
          <w:szCs w:val="18"/>
          <w:color w:val="auto"/>
        </w:rPr>
      </w:pPr>
    </w:p>
    <w:p>
      <w:pPr>
        <w:ind w:left="1360" w:hanging="380"/>
        <w:spacing w:after="0"/>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risk-free interest rate is based on U.S. Treasury yields in effect at the time of grant with a term equal to the expected term.</w:t>
      </w:r>
    </w:p>
    <w:p>
      <w:pPr>
        <w:spacing w:after="0" w:line="20" w:lineRule="exact"/>
        <w:rPr>
          <w:rFonts w:ascii="Arial" w:cs="Arial" w:eastAsia="Arial" w:hAnsi="Arial"/>
          <w:sz w:val="17"/>
          <w:szCs w:val="17"/>
          <w:color w:val="auto"/>
        </w:rPr>
      </w:pPr>
    </w:p>
    <w:p>
      <w:pPr>
        <w:ind w:left="1360" w:hanging="380"/>
        <w:spacing w:after="0"/>
        <w:tabs>
          <w:tab w:leader="none" w:pos="1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estimated implied volatility based upon trailing volatility.</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common stock.</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27, 2020, there was no material unrecognized compensation expense related to the Purchase Plan.</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Retirement Plans</w:t>
      </w:r>
    </w:p>
    <w:p>
      <w:pPr>
        <w:spacing w:after="0" w:line="25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provides eligible employees the opportunity to participate in defined-contribution savings plans (commonly known as 401(k) plans), which permit contributions on a before-tax basis. Generally, salaried employees and certain hourly employees are eligible to participate in the plans. Under most plans, the employee may contribute to various investment alternatives. In certain plans, the Company matches a portion of the employees’ contributions. The Company’s matching contributions to these defined-contribution savings plans totaled $5.7 million in 2020, $4.4 million in 2019, and $3.9 million in 2018.</w:t>
      </w: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Significant Customers</w:t>
      </w:r>
    </w:p>
    <w:p>
      <w:pPr>
        <w:spacing w:after="0" w:line="229" w:lineRule="exact"/>
        <w:rPr>
          <w:sz w:val="20"/>
          <w:szCs w:val="20"/>
          <w:color w:val="auto"/>
        </w:rPr>
      </w:pPr>
    </w:p>
    <w:p>
      <w:pPr>
        <w:ind w:right="140" w:firstLine="180"/>
        <w:spacing w:after="0" w:line="301" w:lineRule="auto"/>
        <w:rPr>
          <w:sz w:val="20"/>
          <w:szCs w:val="20"/>
          <w:color w:val="auto"/>
        </w:rPr>
      </w:pPr>
      <w:r>
        <w:rPr>
          <w:rFonts w:ascii="Arial" w:cs="Arial" w:eastAsia="Arial" w:hAnsi="Arial"/>
          <w:sz w:val="16"/>
          <w:szCs w:val="16"/>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$546.4 million, $507.4 million, and $447.0 million or 73%, 71%, and 72%, of total revenue for the years ended December 27, 2020, December 29, 2019, and December 30, 2018, respectively.</w:t>
      </w:r>
    </w:p>
    <w:p>
      <w:pPr>
        <w:spacing w:after="0" w:line="15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ind w:right="320" w:firstLine="648"/>
        <w:spacing w:after="0" w:line="296" w:lineRule="auto"/>
        <w:rPr>
          <w:sz w:val="20"/>
          <w:szCs w:val="20"/>
          <w:color w:val="auto"/>
        </w:rPr>
      </w:pPr>
      <w:r>
        <w:rPr>
          <w:rFonts w:ascii="Arial" w:cs="Arial" w:eastAsia="Arial" w:hAnsi="Arial"/>
          <w:sz w:val="16"/>
          <w:szCs w:val="16"/>
          <w:color w:val="auto"/>
        </w:rPr>
        <w:t>The Company operates in two reportable segments. The KGS reportable segment is comprised of an aggregation of KGS operating segments, including DRSS, ME, ST&amp;C, MS, and KTT. The US reportable segment consists of the Company’s unmanned aerial, unmanned ground, unmanned seaborne and command, control and communications system business. The KGS and US segments provide products, solutions and services for mission critical national security programs. KGS and US customers primarily include national security related agencies, the DoD, intelligence agencies and classified agencies, and to a lesser degree, international government agencies and domestic and international commercial customers.</w:t>
      </w:r>
    </w:p>
    <w:p>
      <w:pPr>
        <w:spacing w:after="0" w:line="18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Company organizes its reportable segments based on the nature of the products, solutions and services offered. Transactions between segments are generally negotiated and accounted for under terms and conditions similar to other government and commercial contracts. In the following table total operating income (loss) from continuing operations of the reportable business segments is reconciled to the corresponding consolidated amount. The reconciling item “unallocated corporate expense, net”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03" w:name="page104"/>
    <w:bookmarkEnd w:id="103"/>
    <w:p>
      <w:pPr>
        <w:jc w:val="both"/>
        <w:ind w:right="200" w:firstLine="648"/>
        <w:spacing w:after="0" w:line="263" w:lineRule="auto"/>
        <w:rPr>
          <w:sz w:val="20"/>
          <w:szCs w:val="20"/>
          <w:color w:val="auto"/>
        </w:rPr>
      </w:pPr>
      <w:r>
        <w:rPr>
          <w:rFonts w:ascii="Arial" w:cs="Arial" w:eastAsia="Arial" w:hAnsi="Arial"/>
          <w:sz w:val="18"/>
          <w:szCs w:val="18"/>
          <w:color w:val="auto"/>
        </w:rPr>
        <w:t>As discussed in “Discontinued Operations” in Note 9 of these notes to consolidated financial statements, the Company began reporting the PSS business as discontinued operations effective in the first quarter of fiscal 2018. Prior to the decision to sell the PSS business, the Company reported their financial results in a separate PSS reportable segment.</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certain overhead type costs previously allocated to the PSS business were not allocable to discontinued operations, prior period corporate costs have been reallocated amongst the continuing reportable segments.</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104" w:name="page105"/>
    <w:bookmarkEnd w:id="104"/>
    <w:p>
      <w:pPr>
        <w:ind w:right="100" w:firstLine="648"/>
        <w:spacing w:after="0" w:line="277" w:lineRule="auto"/>
        <w:rPr>
          <w:sz w:val="20"/>
          <w:szCs w:val="20"/>
          <w:color w:val="auto"/>
        </w:rPr>
      </w:pPr>
      <w:r>
        <w:rPr>
          <w:rFonts w:ascii="Arial" w:cs="Arial" w:eastAsia="Arial" w:hAnsi="Arial"/>
          <w:sz w:val="18"/>
          <w:szCs w:val="18"/>
          <w:color w:val="auto"/>
        </w:rPr>
        <w:t>Revenues, operating income (loss) and assets disclosed below provided by the Company’s reportable segments for the years ended December 27, 2020, December 29, 2019, and December 30, 2018, are as follows (in millions):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0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000" w:type="dxa"/>
            <w:vAlign w:val="bottom"/>
          </w:tcPr>
          <w:p>
            <w:pPr>
              <w:ind w:left="160"/>
              <w:spacing w:after="0"/>
              <w:rPr>
                <w:sz w:val="20"/>
                <w:szCs w:val="20"/>
                <w:color w:val="auto"/>
              </w:rPr>
            </w:pPr>
            <w:r>
              <w:rPr>
                <w:rFonts w:ascii="Arial" w:cs="Arial" w:eastAsia="Arial" w:hAnsi="Arial"/>
                <w:sz w:val="18"/>
                <w:szCs w:val="18"/>
                <w:color w:val="auto"/>
              </w:rPr>
              <w:t>Kratos Government Solutions</w:t>
            </w: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revenues</w:t>
            </w:r>
          </w:p>
        </w:tc>
        <w:tc>
          <w:tcPr>
            <w:tcW w:w="82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r>
      <w:tr>
        <w:trPr>
          <w:trHeight w:val="230"/>
        </w:trPr>
        <w:tc>
          <w:tcPr>
            <w:tcW w:w="70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Product sales</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312.0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w:t>
            </w:r>
          </w:p>
        </w:tc>
      </w:tr>
      <w:tr>
        <w:trPr>
          <w:trHeight w:val="223"/>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 Kratos Government Solutions</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560.7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w:t>
            </w:r>
          </w:p>
        </w:tc>
      </w:tr>
      <w:tr>
        <w:trPr>
          <w:trHeight w:val="210"/>
        </w:trPr>
        <w:tc>
          <w:tcPr>
            <w:tcW w:w="7000" w:type="dxa"/>
            <w:vAlign w:val="bottom"/>
          </w:tcPr>
          <w:p>
            <w:pPr>
              <w:ind w:left="160"/>
              <w:spacing w:after="0"/>
              <w:rPr>
                <w:sz w:val="20"/>
                <w:szCs w:val="20"/>
                <w:color w:val="auto"/>
              </w:rPr>
            </w:pPr>
            <w:r>
              <w:rPr>
                <w:rFonts w:ascii="Arial" w:cs="Arial" w:eastAsia="Arial" w:hAnsi="Arial"/>
                <w:sz w:val="18"/>
                <w:szCs w:val="18"/>
                <w:color w:val="auto"/>
              </w:rPr>
              <w:t>Unmanned Systems</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revenues</w:t>
            </w:r>
          </w:p>
        </w:tc>
        <w:tc>
          <w:tcPr>
            <w:tcW w:w="8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Product sales</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187.0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w:t>
            </w:r>
          </w:p>
        </w:tc>
      </w:tr>
      <w:tr>
        <w:trPr>
          <w:trHeight w:val="223"/>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 Unmanned Systems</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187.0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r>
      <w:tr>
        <w:trPr>
          <w:trHeight w:val="223"/>
        </w:trPr>
        <w:tc>
          <w:tcPr>
            <w:tcW w:w="700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82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747.7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618.0</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7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Depreciation and amortization:</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7000" w:type="dxa"/>
            <w:vAlign w:val="bottom"/>
          </w:tcPr>
          <w:p>
            <w:pPr>
              <w:ind w:left="160"/>
              <w:spacing w:after="0"/>
              <w:rPr>
                <w:sz w:val="20"/>
                <w:szCs w:val="20"/>
                <w:color w:val="auto"/>
              </w:rPr>
            </w:pPr>
            <w:r>
              <w:rPr>
                <w:rFonts w:ascii="Arial" w:cs="Arial" w:eastAsia="Arial" w:hAnsi="Arial"/>
                <w:sz w:val="18"/>
                <w:szCs w:val="18"/>
                <w:color w:val="auto"/>
              </w:rPr>
              <w:t>Kratos Government Solutions</w:t>
            </w:r>
          </w:p>
        </w:tc>
        <w:tc>
          <w:tcPr>
            <w:tcW w:w="820" w:type="dxa"/>
            <w:vAlign w:val="bottom"/>
          </w:tcPr>
          <w:p>
            <w:pPr>
              <w:jc w:val="right"/>
              <w:ind w:right="63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Unmanned Systems</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7000" w:type="dxa"/>
            <w:vAlign w:val="bottom"/>
          </w:tcPr>
          <w:p>
            <w:pPr>
              <w:ind w:left="340"/>
              <w:spacing w:after="0"/>
              <w:rPr>
                <w:sz w:val="20"/>
                <w:szCs w:val="20"/>
                <w:color w:val="auto"/>
              </w:rPr>
            </w:pPr>
            <w:r>
              <w:rPr>
                <w:rFonts w:ascii="Arial" w:cs="Arial" w:eastAsia="Arial" w:hAnsi="Arial"/>
                <w:sz w:val="18"/>
                <w:szCs w:val="18"/>
                <w:color w:val="auto"/>
              </w:rPr>
              <w:t>Total depreciation and amortization</w:t>
            </w:r>
          </w:p>
        </w:tc>
        <w:tc>
          <w:tcPr>
            <w:tcW w:w="82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7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7000" w:type="dxa"/>
            <w:vAlign w:val="bottom"/>
          </w:tcPr>
          <w:p>
            <w:pPr>
              <w:ind w:left="160"/>
              <w:spacing w:after="0"/>
              <w:rPr>
                <w:sz w:val="20"/>
                <w:szCs w:val="20"/>
                <w:color w:val="auto"/>
              </w:rPr>
            </w:pPr>
            <w:r>
              <w:rPr>
                <w:rFonts w:ascii="Arial" w:cs="Arial" w:eastAsia="Arial" w:hAnsi="Arial"/>
                <w:sz w:val="18"/>
                <w:szCs w:val="18"/>
                <w:color w:val="auto"/>
              </w:rPr>
              <w:t>Kratos Government Solutions</w:t>
            </w:r>
          </w:p>
        </w:tc>
        <w:tc>
          <w:tcPr>
            <w:tcW w:w="820" w:type="dxa"/>
            <w:vAlign w:val="bottom"/>
          </w:tcPr>
          <w:p>
            <w:pPr>
              <w:jc w:val="right"/>
              <w:ind w:right="63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29"/>
        </w:trPr>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Unmanned Systems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70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Corporate activities</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48"/>
        </w:trPr>
        <w:tc>
          <w:tcPr>
            <w:tcW w:w="7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income</w:t>
            </w: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Revenues from foreign customers were approximately $139.5 million or 19%, $132.5 million or 18% and $114.3 million or 19% of total revenue for the years ended December 27, 2020, December 29, 2019, and December 30, 2018, respectively.</w:t>
      </w:r>
    </w:p>
    <w:p>
      <w:pPr>
        <w:spacing w:after="0" w:line="19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Reportable segment assets are as follows (in millions):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27, 2020</w:t>
            </w: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29, 2019</w:t>
            </w:r>
          </w:p>
        </w:tc>
        <w:tc>
          <w:tcPr>
            <w:tcW w:w="16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30, 2018</w:t>
            </w:r>
          </w:p>
        </w:tc>
      </w:tr>
      <w:tr>
        <w:trPr>
          <w:trHeight w:val="215"/>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30"/>
        </w:trPr>
        <w:tc>
          <w:tcPr>
            <w:tcW w:w="6240" w:type="dxa"/>
            <w:vAlign w:val="bottom"/>
          </w:tcPr>
          <w:p>
            <w:pPr>
              <w:ind w:left="160"/>
              <w:spacing w:after="0"/>
              <w:rPr>
                <w:sz w:val="20"/>
                <w:szCs w:val="20"/>
                <w:color w:val="auto"/>
              </w:rPr>
            </w:pPr>
            <w:r>
              <w:rPr>
                <w:rFonts w:ascii="Arial" w:cs="Arial" w:eastAsia="Arial" w:hAnsi="Arial"/>
                <w:sz w:val="18"/>
                <w:szCs w:val="18"/>
                <w:color w:val="auto"/>
              </w:rPr>
              <w:t>Kratos Government Solutions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877.2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777.6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602.8</w:t>
            </w:r>
          </w:p>
        </w:tc>
      </w:tr>
      <w:tr>
        <w:trPr>
          <w:trHeight w:val="229"/>
        </w:trPr>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Unmanned Systems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r>
      <w:tr>
        <w:trPr>
          <w:trHeight w:val="230"/>
        </w:trPr>
        <w:tc>
          <w:tcPr>
            <w:tcW w:w="624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activities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r>
      <w:tr>
        <w:trPr>
          <w:trHeight w:val="223"/>
        </w:trPr>
        <w:tc>
          <w:tcPr>
            <w:tcW w:w="624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1,010.1</w:t>
            </w:r>
          </w:p>
        </w:tc>
      </w:tr>
      <w:tr>
        <w:trPr>
          <w:trHeight w:val="20"/>
        </w:trPr>
        <w:tc>
          <w:tcPr>
            <w:tcW w:w="6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Assets of foreign subsidiaries in the KGS segment were $148.2 million, $124.7 million and $126.7 million as of December 27, 2020, December 29, 2019 and December 30, 2018, respectively.</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5"/>
          <w:szCs w:val="15"/>
          <w:b w:val="1"/>
          <w:bCs w:val="1"/>
          <w:color w:val="auto"/>
        </w:rPr>
        <w:t>Commitments and Contingencies</w:t>
      </w:r>
    </w:p>
    <w:p>
      <w:pPr>
        <w:spacing w:after="0" w:line="256" w:lineRule="exact"/>
        <w:rPr>
          <w:sz w:val="20"/>
          <w:szCs w:val="20"/>
          <w:color w:val="auto"/>
        </w:rPr>
      </w:pPr>
    </w:p>
    <w:p>
      <w:pPr>
        <w:ind w:right="120" w:firstLine="180"/>
        <w:spacing w:after="0" w:line="273" w:lineRule="auto"/>
        <w:rPr>
          <w:sz w:val="20"/>
          <w:szCs w:val="20"/>
          <w:color w:val="auto"/>
        </w:rPr>
      </w:pPr>
      <w:r>
        <w:rPr>
          <w:rFonts w:ascii="Arial" w:cs="Arial" w:eastAsia="Arial" w:hAnsi="Arial"/>
          <w:sz w:val="17"/>
          <w:szCs w:val="17"/>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consolidated financial statements. An estimated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105" w:name="page106"/>
    <w:bookmarkEnd w:id="105"/>
    <w:p>
      <w:pPr>
        <w:ind w:right="80"/>
        <w:spacing w:after="0" w:line="269" w:lineRule="auto"/>
        <w:rPr>
          <w:sz w:val="20"/>
          <w:szCs w:val="20"/>
          <w:color w:val="auto"/>
        </w:rPr>
      </w:pPr>
      <w:r>
        <w:rPr>
          <w:rFonts w:ascii="Arial" w:cs="Arial" w:eastAsia="Arial" w:hAnsi="Arial"/>
          <w:sz w:val="17"/>
          <w:szCs w:val="17"/>
          <w:color w:val="auto"/>
        </w:rPr>
        <w:t>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consolidated financial statements; and the unique facts and circumstances of the particular matter that may give rise to additional factors.</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Legal and Regulatory Matters.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Government Cost Claims</w:t>
      </w:r>
    </w:p>
    <w:p>
      <w:pPr>
        <w:spacing w:after="0" w:line="25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Company’s contracts with the DoD are subject to audit by the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Costs incurred and allocated to contracts with the U.S. Government are regularly scrutinized for compliance with regulatory standards by the Company’s personnel.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Litigation Matters</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is subject to normal and routine litigation arising from the ordinary course and conduct of business, and, at times, as a result of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its financial condition, results of operations or cash flows.</w:t>
      </w:r>
    </w:p>
    <w:p>
      <w:pPr>
        <w:spacing w:after="0" w:line="21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Redeemable Noncontrolling Interest</w:t>
      </w:r>
    </w:p>
    <w:p>
      <w:pPr>
        <w:spacing w:after="0" w:line="200" w:lineRule="exact"/>
        <w:rPr>
          <w:sz w:val="20"/>
          <w:szCs w:val="20"/>
          <w:color w:val="auto"/>
        </w:rPr>
      </w:pPr>
    </w:p>
    <w:p>
      <w:pPr>
        <w:spacing w:after="0" w:line="299" w:lineRule="exact"/>
        <w:rPr>
          <w:sz w:val="20"/>
          <w:szCs w:val="20"/>
          <w:color w:val="auto"/>
        </w:rPr>
      </w:pPr>
    </w:p>
    <w:p>
      <w:pPr>
        <w:ind w:right="40" w:firstLine="170"/>
        <w:spacing w:after="0" w:line="255" w:lineRule="auto"/>
        <w:rPr>
          <w:sz w:val="20"/>
          <w:szCs w:val="20"/>
          <w:color w:val="auto"/>
        </w:rPr>
      </w:pPr>
      <w:r>
        <w:rPr>
          <w:rFonts w:ascii="Arial" w:cs="Arial" w:eastAsia="Arial" w:hAnsi="Arial"/>
          <w:sz w:val="18"/>
          <w:szCs w:val="18"/>
          <w:color w:val="auto"/>
        </w:rPr>
        <w:t>As discussed in “Acquisitions” in Note 2, in connection with the Company’s acquisition of FTT, (i) beginning in January 2024, the Holders will have an annual Put Right to sell all of the Minority Interests to the Company at a purchase price based on a specified multiple of the trailing 12 months EBITDA of the Acquired Companies, subject to adjustment as set forth in the Exchange Agreement (provided, however, that following certain events, including a change of control, the Put Right will be accelerated and the Minority Interest Purchase Price will be a specified increased multiple of the trailing 12 months EBITDA of the Acquired Companies); and (ii) beginning in January 2025, the Company will have an annual right to purchase all of the Minority Interests from the Holders at the Minority Interest Purchase Price.</w:t>
      </w:r>
    </w:p>
    <w:p>
      <w:pPr>
        <w:spacing w:after="0" w:line="219" w:lineRule="exact"/>
        <w:rPr>
          <w:sz w:val="20"/>
          <w:szCs w:val="20"/>
          <w:color w:val="auto"/>
        </w:rPr>
      </w:pPr>
    </w:p>
    <w:p>
      <w:pPr>
        <w:ind w:right="40" w:firstLine="177"/>
        <w:spacing w:after="0" w:line="257" w:lineRule="auto"/>
        <w:rPr>
          <w:sz w:val="20"/>
          <w:szCs w:val="20"/>
          <w:color w:val="auto"/>
        </w:rPr>
      </w:pPr>
      <w:r>
        <w:rPr>
          <w:rFonts w:ascii="Arial" w:cs="Arial" w:eastAsia="Arial" w:hAnsi="Arial"/>
          <w:sz w:val="18"/>
          <w:szCs w:val="18"/>
          <w:color w:val="auto"/>
        </w:rPr>
        <w:t>The Company adjusts the carrying value of such redeemable noncontrolling interest based on an allocation of subsidiary earnings based on ownership interest. Redeemable noncontrolling interest is recorded outside of permanent equity at the higher of its carrying value or management’s estimate of the amount (the “Redemption Amount”) that the Company could be required to pay in connection with the Put Rights. Adjustments to Redemption Amount will have a corresponding effect on net income per share attributable to Kratos shareholders. As of December 27, 2020, no adjustment of the carrying value of the redeemable noncontrolling interest was required.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6" w:name="page107"/>
    <w:bookmarkEnd w:id="106"/>
    <w:p>
      <w:pPr>
        <w:spacing w:after="0"/>
        <w:tabs>
          <w:tab w:leader="none" w:pos="84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6"/>
          <w:szCs w:val="16"/>
          <w:b w:val="1"/>
          <w:bCs w:val="1"/>
          <w:color w:val="auto"/>
        </w:rPr>
        <w:t>Quarterly Financial Data (Unaudited)</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financial information reflects all normal and recurring adjustments that are, in the opinion of management, necessary for a fair statement of the results of the interim periods.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Summarized quarterly data for the years ended December 27, 2020 and December 29, 2019, is as follows (in millions, except per share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0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First Quarter</w:t>
            </w:r>
          </w:p>
        </w:tc>
        <w:tc>
          <w:tcPr>
            <w:tcW w:w="1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Second</w:t>
            </w:r>
          </w:p>
        </w:tc>
        <w:tc>
          <w:tcPr>
            <w:tcW w:w="1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Third Quarter</w:t>
            </w:r>
          </w:p>
        </w:tc>
        <w:tc>
          <w:tcPr>
            <w:tcW w:w="160" w:type="dxa"/>
            <w:vAlign w:val="bottom"/>
          </w:tcPr>
          <w:p>
            <w:pPr>
              <w:spacing w:after="0"/>
              <w:rPr>
                <w:sz w:val="14"/>
                <w:szCs w:val="14"/>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88"/>
        </w:trPr>
        <w:tc>
          <w:tcPr>
            <w:tcW w:w="694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Quarter</w:t>
            </w:r>
          </w:p>
        </w:tc>
        <w:tc>
          <w:tcPr>
            <w:tcW w:w="11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52"/>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11"/>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Fiscal year 2020</w:t>
            </w: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loss attributable to noncontrolling interest</w:t>
            </w:r>
          </w:p>
        </w:tc>
        <w:tc>
          <w:tcPr>
            <w:tcW w:w="3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Net income (loss) attributable to Kratos</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income (loss) per common share attributable to Kratos:</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discontinued operations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40" w:type="dxa"/>
            <w:vAlign w:val="bottom"/>
          </w:tcPr>
          <w:p>
            <w:pPr>
              <w:ind w:left="260"/>
              <w:spacing w:after="0"/>
              <w:rPr>
                <w:sz w:val="20"/>
                <w:szCs w:val="20"/>
                <w:color w:val="auto"/>
              </w:rPr>
            </w:pPr>
            <w:r>
              <w:rPr>
                <w:rFonts w:ascii="Arial" w:cs="Arial" w:eastAsia="Arial" w:hAnsi="Arial"/>
                <w:sz w:val="18"/>
                <w:szCs w:val="18"/>
                <w:color w:val="auto"/>
              </w:rPr>
              <w:t>Net income (loss) per common share</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income (loss) per common share attributable to Kratos:</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discontinued operations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Net income (loss) per common share</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Provision (benefit) for income taxes for the fourth quarter of 2020 includes a non-cash benefit of $80.1 million related to the reversal of a significant portion of the Company’s valuation allowance on its U.S. deferred tax assets.</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First Quarter</w:t>
            </w:r>
          </w:p>
        </w:tc>
        <w:tc>
          <w:tcPr>
            <w:tcW w:w="16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Second</w:t>
            </w:r>
          </w:p>
        </w:tc>
        <w:tc>
          <w:tcPr>
            <w:tcW w:w="1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Third Quarter</w:t>
            </w:r>
          </w:p>
        </w:tc>
        <w:tc>
          <w:tcPr>
            <w:tcW w:w="160" w:type="dxa"/>
            <w:vAlign w:val="bottom"/>
          </w:tcPr>
          <w:p>
            <w:pPr>
              <w:spacing w:after="0"/>
              <w:rPr>
                <w:sz w:val="14"/>
                <w:szCs w:val="14"/>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88"/>
        </w:trPr>
        <w:tc>
          <w:tcPr>
            <w:tcW w:w="49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Quarter</w:t>
            </w:r>
          </w:p>
        </w:tc>
        <w:tc>
          <w:tcPr>
            <w:tcW w:w="11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52"/>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11"/>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Fiscal year 2019</w:t>
            </w:r>
          </w:p>
        </w:tc>
        <w:tc>
          <w:tcPr>
            <w:tcW w:w="20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Revenues</w:t>
            </w:r>
          </w:p>
        </w:tc>
        <w:tc>
          <w:tcPr>
            <w:tcW w:w="23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160.4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Operating income</w:t>
            </w:r>
          </w:p>
        </w:tc>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2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Net income</w:t>
            </w:r>
          </w:p>
        </w:tc>
        <w:tc>
          <w:tcPr>
            <w:tcW w:w="23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w:t>
            </w:r>
          </w:p>
        </w:tc>
        <w:tc>
          <w:tcPr>
            <w:tcW w:w="2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Net income attributable to Kratos</w:t>
            </w:r>
          </w:p>
        </w:tc>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Basic income (loss) per common share attributable to Kratos:</w:t>
            </w:r>
          </w:p>
        </w:tc>
        <w:tc>
          <w:tcPr>
            <w:tcW w:w="2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100"/>
              <w:spacing w:after="0"/>
              <w:rPr>
                <w:sz w:val="20"/>
                <w:szCs w:val="20"/>
                <w:color w:val="auto"/>
              </w:rPr>
            </w:pPr>
            <w:r>
              <w:rPr>
                <w:rFonts w:ascii="Arial" w:cs="Arial" w:eastAsia="Arial" w:hAnsi="Arial"/>
                <w:sz w:val="18"/>
                <w:szCs w:val="18"/>
                <w:color w:val="auto"/>
              </w:rPr>
              <w:t>Income from continuing operations</w:t>
            </w:r>
          </w:p>
        </w:tc>
        <w:tc>
          <w:tcPr>
            <w:tcW w:w="23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(loss) from discontinued operations</w:t>
            </w:r>
          </w:p>
        </w:tc>
        <w:tc>
          <w:tcPr>
            <w:tcW w:w="23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Pr>
          <w:p>
            <w:pPr>
              <w:ind w:left="240"/>
              <w:spacing w:after="0"/>
              <w:rPr>
                <w:sz w:val="20"/>
                <w:szCs w:val="20"/>
                <w:color w:val="auto"/>
              </w:rPr>
            </w:pPr>
            <w:r>
              <w:rPr>
                <w:rFonts w:ascii="Arial" w:cs="Arial" w:eastAsia="Arial" w:hAnsi="Arial"/>
                <w:sz w:val="18"/>
                <w:szCs w:val="18"/>
                <w:color w:val="auto"/>
              </w:rPr>
              <w:t>Net income per common share</w:t>
            </w:r>
          </w:p>
        </w:tc>
        <w:tc>
          <w:tcPr>
            <w:tcW w:w="23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common share attributable to Kratos:</w:t>
            </w:r>
          </w:p>
        </w:tc>
        <w:tc>
          <w:tcPr>
            <w:tcW w:w="2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00"/>
              <w:spacing w:after="0"/>
              <w:rPr>
                <w:sz w:val="20"/>
                <w:szCs w:val="20"/>
                <w:color w:val="auto"/>
              </w:rPr>
            </w:pPr>
            <w:r>
              <w:rPr>
                <w:rFonts w:ascii="Arial" w:cs="Arial" w:eastAsia="Arial" w:hAnsi="Arial"/>
                <w:sz w:val="18"/>
                <w:szCs w:val="18"/>
                <w:color w:val="auto"/>
              </w:rPr>
              <w:t>Income from continuing operations</w:t>
            </w:r>
          </w:p>
        </w:tc>
        <w:tc>
          <w:tcPr>
            <w:tcW w:w="23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from discontinued operations</w:t>
            </w:r>
          </w:p>
        </w:tc>
        <w:tc>
          <w:tcPr>
            <w:tcW w:w="23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Pr>
          <w:p>
            <w:pPr>
              <w:ind w:left="240"/>
              <w:spacing w:after="0"/>
              <w:rPr>
                <w:sz w:val="20"/>
                <w:szCs w:val="20"/>
                <w:color w:val="auto"/>
              </w:rPr>
            </w:pPr>
            <w:r>
              <w:rPr>
                <w:rFonts w:ascii="Arial" w:cs="Arial" w:eastAsia="Arial" w:hAnsi="Arial"/>
                <w:sz w:val="18"/>
                <w:szCs w:val="18"/>
                <w:color w:val="auto"/>
              </w:rPr>
              <w:t>Net income per common share</w:t>
            </w:r>
          </w:p>
        </w:tc>
        <w:tc>
          <w:tcPr>
            <w:tcW w:w="23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863"/>
        </w:trPr>
        <w:tc>
          <w:tcPr>
            <w:tcW w:w="4920" w:type="dxa"/>
            <w:vAlign w:val="bottom"/>
          </w:tcPr>
          <w:p>
            <w:pPr>
              <w:spacing w:after="0"/>
              <w:rPr>
                <w:sz w:val="24"/>
                <w:szCs w:val="24"/>
                <w:color w:val="auto"/>
              </w:rPr>
            </w:pPr>
          </w:p>
        </w:tc>
        <w:tc>
          <w:tcPr>
            <w:tcW w:w="2300" w:type="dxa"/>
            <w:vAlign w:val="bottom"/>
            <w:gridSpan w:val="2"/>
          </w:tcPr>
          <w:p>
            <w:pPr>
              <w:jc w:val="right"/>
              <w:ind w:right="1388"/>
              <w:spacing w:after="0"/>
              <w:rPr>
                <w:sz w:val="20"/>
                <w:szCs w:val="20"/>
                <w:color w:val="auto"/>
              </w:rPr>
            </w:pPr>
            <w:r>
              <w:rPr>
                <w:rFonts w:ascii="Arial" w:cs="Arial" w:eastAsia="Arial" w:hAnsi="Arial"/>
                <w:sz w:val="18"/>
                <w:szCs w:val="18"/>
                <w:color w:val="auto"/>
              </w:rPr>
              <w:t>F-42</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891" w:right="35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Exhibit 10.19</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THIS EMPLOYMENT AGREEMENT </w:t>
      </w: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by and between Kratos Defense &amp; Security</w:t>
      </w:r>
      <w:r>
        <w:rPr>
          <w:rFonts w:ascii="Arial" w:cs="Arial" w:eastAsia="Arial" w:hAnsi="Arial"/>
          <w:sz w:val="22"/>
          <w:szCs w:val="22"/>
          <w:b w:val="1"/>
          <w:bCs w:val="1"/>
          <w:color w:val="auto"/>
        </w:rPr>
        <w:t xml:space="preserve"> </w:t>
      </w:r>
      <w:r>
        <w:rPr>
          <w:rFonts w:ascii="Arial" w:cs="Arial" w:eastAsia="Arial" w:hAnsi="Arial"/>
          <w:sz w:val="22"/>
          <w:szCs w:val="22"/>
          <w:color w:val="auto"/>
        </w:rPr>
        <w:t>Solutions, Inc., a Delaware corporation (“</w:t>
      </w:r>
      <w:r>
        <w:rPr>
          <w:rFonts w:ascii="Arial" w:cs="Arial" w:eastAsia="Arial" w:hAnsi="Arial"/>
          <w:sz w:val="22"/>
          <w:szCs w:val="22"/>
          <w:b w:val="1"/>
          <w:bCs w:val="1"/>
          <w:color w:val="auto"/>
        </w:rPr>
        <w:t>Company</w:t>
      </w:r>
      <w:r>
        <w:rPr>
          <w:rFonts w:ascii="Arial" w:cs="Arial" w:eastAsia="Arial" w:hAnsi="Arial"/>
          <w:sz w:val="22"/>
          <w:szCs w:val="22"/>
          <w:color w:val="auto"/>
        </w:rPr>
        <w:t>”), and Steven Fendley, an individual (“</w:t>
      </w:r>
      <w:r>
        <w:rPr>
          <w:rFonts w:ascii="Arial" w:cs="Arial" w:eastAsia="Arial" w:hAnsi="Arial"/>
          <w:sz w:val="22"/>
          <w:szCs w:val="22"/>
          <w:b w:val="1"/>
          <w:bCs w:val="1"/>
          <w:color w:val="auto"/>
        </w:rPr>
        <w:t>Executive</w:t>
      </w:r>
      <w:r>
        <w:rPr>
          <w:rFonts w:ascii="Arial" w:cs="Arial" w:eastAsia="Arial" w:hAnsi="Arial"/>
          <w:sz w:val="22"/>
          <w:szCs w:val="22"/>
          <w:color w:val="auto"/>
        </w:rPr>
        <w:t>”), effective as of November 18, 2020 (“</w:t>
      </w:r>
      <w:r>
        <w:rPr>
          <w:rFonts w:ascii="Arial" w:cs="Arial" w:eastAsia="Arial" w:hAnsi="Arial"/>
          <w:sz w:val="22"/>
          <w:szCs w:val="22"/>
          <w:b w:val="1"/>
          <w:bCs w:val="1"/>
          <w:color w:val="auto"/>
        </w:rPr>
        <w:t>Effective Date</w:t>
      </w:r>
      <w:r>
        <w:rPr>
          <w:rFonts w:ascii="Arial" w:cs="Arial" w:eastAsia="Arial" w:hAnsi="Arial"/>
          <w:sz w:val="22"/>
          <w:szCs w:val="22"/>
          <w:color w:val="auto"/>
        </w:rPr>
        <w:t>”). Certain terms used in this Agreement denoted by initial capital letters are defined in Section 17, to the extent not defined elsewhere in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6" w:lineRule="exact"/>
        <w:rPr>
          <w:sz w:val="20"/>
          <w:szCs w:val="20"/>
          <w:color w:val="auto"/>
        </w:rPr>
      </w:pPr>
    </w:p>
    <w:p>
      <w:pPr>
        <w:jc w:val="both"/>
        <w:ind w:firstLine="656"/>
        <w:spacing w:after="0" w:line="249" w:lineRule="auto"/>
        <w:tabs>
          <w:tab w:leader="none" w:pos="1290" w:val="left"/>
        </w:tabs>
        <w:numPr>
          <w:ilvl w:val="0"/>
          <w:numId w:val="45"/>
        </w:numPr>
        <w:rPr>
          <w:rFonts w:ascii="Arial" w:cs="Arial" w:eastAsia="Arial" w:hAnsi="Arial"/>
          <w:sz w:val="22"/>
          <w:szCs w:val="22"/>
          <w:color w:val="auto"/>
        </w:rPr>
      </w:pPr>
      <w:r>
        <w:rPr>
          <w:rFonts w:ascii="Arial" w:cs="Arial" w:eastAsia="Arial" w:hAnsi="Arial"/>
          <w:sz w:val="22"/>
          <w:szCs w:val="22"/>
          <w:color w:val="auto"/>
        </w:rPr>
        <w:t>Executive is currently an employee of Company or one of its Affiliates, and in such capacity has obtained extensive and valuable knowledge and confidential information concerning the Company’s business and confidential customer relationships and has developed goodwill with the customers and the business.</w:t>
      </w:r>
    </w:p>
    <w:p>
      <w:pPr>
        <w:jc w:val="both"/>
        <w:ind w:firstLine="656"/>
        <w:spacing w:after="0" w:line="245" w:lineRule="auto"/>
        <w:tabs>
          <w:tab w:leader="none" w:pos="1292"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Company wishes to continue to employ Executive upon the terms and conditions contained in this Employment Agreement and Executive wishes to enter into this Agreement and agrees to perform his obligations hereunder in consideration of his employment, salary, benefits and other terms described herein.</w:t>
      </w:r>
    </w:p>
    <w:p>
      <w:pPr>
        <w:spacing w:after="0" w:line="214" w:lineRule="exact"/>
        <w:rPr>
          <w:sz w:val="20"/>
          <w:szCs w:val="20"/>
          <w:color w:val="auto"/>
        </w:rPr>
      </w:pPr>
    </w:p>
    <w:p>
      <w:pPr>
        <w:ind w:firstLine="216"/>
        <w:spacing w:after="0" w:line="269"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mutual covenants and agreements set forth herein, the Company and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intending to be legally bound, hereby agree as follows: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20" w:lineRule="exact"/>
        <w:rPr>
          <w:sz w:val="20"/>
          <w:szCs w:val="20"/>
          <w:color w:val="auto"/>
        </w:rPr>
      </w:pPr>
    </w:p>
    <w:p>
      <w:pPr>
        <w:jc w:val="both"/>
        <w:ind w:firstLine="656"/>
        <w:spacing w:after="0" w:line="298" w:lineRule="auto"/>
        <w:tabs>
          <w:tab w:leader="none" w:pos="1296" w:val="left"/>
        </w:tabs>
        <w:numPr>
          <w:ilvl w:val="0"/>
          <w:numId w:val="46"/>
        </w:numPr>
        <w:rPr>
          <w:rFonts w:ascii="Arial" w:cs="Arial" w:eastAsia="Arial" w:hAnsi="Arial"/>
          <w:sz w:val="19"/>
          <w:szCs w:val="19"/>
          <w:color w:val="auto"/>
        </w:rPr>
      </w:pPr>
      <w:r>
        <w:rPr>
          <w:rFonts w:ascii="Arial" w:cs="Arial" w:eastAsia="Arial" w:hAnsi="Arial"/>
          <w:sz w:val="19"/>
          <w:szCs w:val="19"/>
          <w:b w:val="1"/>
          <w:bCs w:val="1"/>
          <w:u w:val="single" w:color="auto"/>
          <w:color w:val="auto"/>
        </w:rPr>
        <w:t>Employment</w:t>
      </w:r>
      <w:r>
        <w:rPr>
          <w:rFonts w:ascii="Arial" w:cs="Arial" w:eastAsia="Arial" w:hAnsi="Arial"/>
          <w:sz w:val="19"/>
          <w:szCs w:val="19"/>
          <w:color w:val="auto"/>
        </w:rPr>
        <w:t>. The Company shall employ Executive as Senior Vice President and Division President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Unmanned Systems (“US”) Division (the “Position”), and Executive accepts such employment and agrees to perform the duties and functions set forth herein for the Company, for the period and upon the other terms and conditions set forth in this Agreement. Upon the Effective Date, any and all prior employment agreements between the Company and Executive shall be of no further force or effect, and this Agreement shall supersede all such prior agreements.</w:t>
      </w:r>
    </w:p>
    <w:p>
      <w:pPr>
        <w:spacing w:after="0" w:line="142" w:lineRule="exact"/>
        <w:rPr>
          <w:rFonts w:ascii="Arial" w:cs="Arial" w:eastAsia="Arial" w:hAnsi="Arial"/>
          <w:sz w:val="19"/>
          <w:szCs w:val="19"/>
          <w:color w:val="auto"/>
        </w:rPr>
      </w:pPr>
    </w:p>
    <w:p>
      <w:pPr>
        <w:jc w:val="both"/>
        <w:ind w:firstLine="656"/>
        <w:spacing w:after="0" w:line="252" w:lineRule="auto"/>
        <w:tabs>
          <w:tab w:leader="none" w:pos="1296" w:val="left"/>
        </w:tabs>
        <w:numPr>
          <w:ilvl w:val="0"/>
          <w:numId w:val="46"/>
        </w:numPr>
        <w:rPr>
          <w:rFonts w:ascii="Arial" w:cs="Arial" w:eastAsia="Arial" w:hAnsi="Arial"/>
          <w:sz w:val="22"/>
          <w:szCs w:val="22"/>
          <w:color w:val="auto"/>
        </w:rPr>
      </w:pPr>
      <w:r>
        <w:rPr>
          <w:rFonts w:ascii="Arial" w:cs="Arial" w:eastAsia="Arial" w:hAnsi="Arial"/>
          <w:sz w:val="22"/>
          <w:szCs w:val="22"/>
          <w:b w:val="1"/>
          <w:bCs w:val="1"/>
          <w:u w:val="single" w:color="auto"/>
          <w:color w:val="auto"/>
        </w:rPr>
        <w:t>Term.</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 of Executive’s employment hereunder shall be for a period commencing on the Effective Date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and ending on December 31, 2023 (the </w:t>
      </w:r>
      <w:r>
        <w:rPr>
          <w:rFonts w:ascii="Arial" w:cs="Arial" w:eastAsia="Arial" w:hAnsi="Arial"/>
          <w:sz w:val="22"/>
          <w:szCs w:val="22"/>
          <w:b w:val="1"/>
          <w:bCs w:val="1"/>
          <w:color w:val="auto"/>
        </w:rPr>
        <w:t>“Term</w:t>
      </w:r>
      <w:r>
        <w:rPr>
          <w:rFonts w:ascii="Arial" w:cs="Arial" w:eastAsia="Arial" w:hAnsi="Arial"/>
          <w:sz w:val="22"/>
          <w:szCs w:val="22"/>
          <w:color w:val="auto"/>
        </w:rPr>
        <w:t>”, which phrase shall include any renewal term as specified below), subject to earlier termination as hereinafter specified. Upon expiration of the Term, this Agreement may be renewed upon written agreement of the parties for an additional term of one (1) year.</w:t>
      </w:r>
    </w:p>
    <w:p>
      <w:pPr>
        <w:spacing w:after="0" w:line="179" w:lineRule="exact"/>
        <w:rPr>
          <w:rFonts w:ascii="Arial" w:cs="Arial" w:eastAsia="Arial" w:hAnsi="Arial"/>
          <w:sz w:val="22"/>
          <w:szCs w:val="22"/>
          <w:color w:val="auto"/>
        </w:rPr>
      </w:pPr>
    </w:p>
    <w:p>
      <w:pPr>
        <w:jc w:val="both"/>
        <w:ind w:firstLine="656"/>
        <w:spacing w:after="0" w:line="260" w:lineRule="auto"/>
        <w:tabs>
          <w:tab w:leader="none" w:pos="1296" w:val="left"/>
        </w:tabs>
        <w:numPr>
          <w:ilvl w:val="0"/>
          <w:numId w:val="46"/>
        </w:numPr>
        <w:rPr>
          <w:rFonts w:ascii="Arial" w:cs="Arial" w:eastAsia="Arial" w:hAnsi="Arial"/>
          <w:sz w:val="21"/>
          <w:szCs w:val="21"/>
          <w:color w:val="auto"/>
        </w:rPr>
      </w:pPr>
      <w:r>
        <w:rPr>
          <w:rFonts w:ascii="Arial" w:cs="Arial" w:eastAsia="Arial" w:hAnsi="Arial"/>
          <w:sz w:val="21"/>
          <w:szCs w:val="21"/>
          <w:b w:val="1"/>
          <w:bCs w:val="1"/>
          <w:u w:val="single" w:color="auto"/>
          <w:color w:val="auto"/>
        </w:rPr>
        <w:t>Position and Duties</w:t>
      </w:r>
      <w:r>
        <w:rPr>
          <w:rFonts w:ascii="Arial" w:cs="Arial" w:eastAsia="Arial" w:hAnsi="Arial"/>
          <w:sz w:val="21"/>
          <w:szCs w:val="21"/>
          <w:color w:val="auto"/>
        </w:rPr>
        <w:t>. Executive shall perform all duties and functions customarily performed by the Position of a</w:t>
      </w:r>
      <w:r>
        <w:rPr>
          <w:rFonts w:ascii="Arial" w:cs="Arial" w:eastAsia="Arial" w:hAnsi="Arial"/>
          <w:sz w:val="21"/>
          <w:szCs w:val="21"/>
          <w:b w:val="1"/>
          <w:bCs w:val="1"/>
          <w:color w:val="auto"/>
        </w:rPr>
        <w:t xml:space="preserve"> </w:t>
      </w:r>
      <w:r>
        <w:rPr>
          <w:rFonts w:ascii="Arial" w:cs="Arial" w:eastAsia="Arial" w:hAnsi="Arial"/>
          <w:sz w:val="21"/>
          <w:szCs w:val="21"/>
          <w:color w:val="auto"/>
        </w:rPr>
        <w:t>business of the size and nature similar to that of the Company, and such other related employment duties as the President &amp; CEO of the Company (the “</w:t>
      </w:r>
      <w:r>
        <w:rPr>
          <w:rFonts w:ascii="Arial" w:cs="Arial" w:eastAsia="Arial" w:hAnsi="Arial"/>
          <w:sz w:val="21"/>
          <w:szCs w:val="21"/>
          <w:b w:val="1"/>
          <w:bCs w:val="1"/>
          <w:color w:val="auto"/>
        </w:rPr>
        <w:t>President</w:t>
      </w:r>
      <w:r>
        <w:rPr>
          <w:rFonts w:ascii="Arial" w:cs="Arial" w:eastAsia="Arial" w:hAnsi="Arial"/>
          <w:sz w:val="21"/>
          <w:szCs w:val="21"/>
          <w:color w:val="auto"/>
        </w:rPr>
        <w:t>”) or his designee shall reasonably assign to Executive from time to time. Executive shall perform his duties principally at the Company’s office in Round Rock, Texas, with travel to other locations from time to time as the President may reasonably require. Except as may otherwise be approved in advance by the President, and except during vacation periods and reasonable periods of absence due to sickness, personal injury or other disability, Executive shall devote his full working time to the services required of him hereunder. Executive shall use his reasonable best efforts, judgment and energy to improve and advance the business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490"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2"/>
          <w:szCs w:val="22"/>
          <w:b w:val="1"/>
          <w:bCs w:val="1"/>
          <w:color w:val="auto"/>
        </w:rPr>
        <w:t>Exhibit 10.19</w:t>
      </w:r>
    </w:p>
    <w:p>
      <w:pPr>
        <w:spacing w:after="0" w:line="200" w:lineRule="exact"/>
        <w:rPr>
          <w:sz w:val="20"/>
          <w:szCs w:val="20"/>
          <w:color w:val="auto"/>
        </w:rPr>
      </w:pP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interest of the Company and its subsidiaries and Affiliates, if applicable, in a manner consistent with the duties of the Position and with the Company’s Code of Legal and Ethical Conduct. Executive hereby confirms that he is under no contractual commitments inconsistent with his obligations set forth in this Agreement, and that during his employment, he will not render or perform services, or enter into any contract to do so, for any other corporation, firm, entity or person which are inconsistent with the provisions of this Agreement.</w:t>
      </w:r>
    </w:p>
    <w:p>
      <w:pPr>
        <w:spacing w:after="0" w:line="186" w:lineRule="exact"/>
        <w:rPr>
          <w:sz w:val="20"/>
          <w:szCs w:val="20"/>
          <w:color w:val="auto"/>
        </w:rPr>
      </w:pPr>
    </w:p>
    <w:p>
      <w:pPr>
        <w:ind w:left="1300" w:hanging="644"/>
        <w:spacing w:after="0"/>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b w:val="1"/>
          <w:bCs w:val="1"/>
          <w:u w:val="single" w:color="auto"/>
          <w:color w:val="auto"/>
        </w:rPr>
        <w:t>Compensation</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u w:val="single" w:color="auto"/>
          <w:color w:val="auto"/>
        </w:rPr>
        <w:t>4.1</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Base Salary</w:t>
      </w:r>
      <w:r>
        <w:rPr>
          <w:rFonts w:ascii="Arial" w:cs="Arial" w:eastAsia="Arial" w:hAnsi="Arial"/>
          <w:sz w:val="22"/>
          <w:szCs w:val="22"/>
          <w:color w:val="auto"/>
        </w:rPr>
        <w:t>. As compensation for all services to be rendered by Executive under this Agreement, the Company shall pay to Executive a base annual salary of Four Hundred Thousand Dollars ($400,000) (the “</w:t>
      </w:r>
      <w:r>
        <w:rPr>
          <w:rFonts w:ascii="Arial" w:cs="Arial" w:eastAsia="Arial" w:hAnsi="Arial"/>
          <w:sz w:val="22"/>
          <w:szCs w:val="22"/>
          <w:b w:val="1"/>
          <w:bCs w:val="1"/>
          <w:color w:val="auto"/>
        </w:rPr>
        <w:t>Base Salary</w:t>
      </w:r>
      <w:r>
        <w:rPr>
          <w:rFonts w:ascii="Arial" w:cs="Arial" w:eastAsia="Arial" w:hAnsi="Arial"/>
          <w:sz w:val="22"/>
          <w:szCs w:val="22"/>
          <w:color w:val="auto"/>
        </w:rPr>
        <w:t>”), which shall be paid on a regular basis in accordance with the Company’s customary payroll procedures and policies, and pro-rated for partial years, but no Base Salary shall be paid for periods of disability during which the Executive is not performing services for the Company. Executive will be eligible for annual increases to the Base Salary in accordance with the Company’s then current compensation policies.</w:t>
      </w:r>
    </w:p>
    <w:p>
      <w:pPr>
        <w:spacing w:after="0" w:line="187"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1"/>
          <w:szCs w:val="21"/>
          <w:u w:val="single" w:color="auto"/>
          <w:color w:val="auto"/>
        </w:rPr>
        <w:t>4.2</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Incentive Compensation</w:t>
      </w:r>
      <w:r>
        <w:rPr>
          <w:rFonts w:ascii="Arial" w:cs="Arial" w:eastAsia="Arial" w:hAnsi="Arial"/>
          <w:sz w:val="21"/>
          <w:szCs w:val="21"/>
          <w:color w:val="auto"/>
        </w:rPr>
        <w:t>. In addition to the Base Salary, and as incentive compensation for services rendered hereunder, Executive will participate in the Company’s annual bonus program and will be eligible to earn up to sixty percent (60%) of Base Salary (“</w:t>
      </w:r>
      <w:r>
        <w:rPr>
          <w:rFonts w:ascii="Arial" w:cs="Arial" w:eastAsia="Arial" w:hAnsi="Arial"/>
          <w:sz w:val="21"/>
          <w:szCs w:val="21"/>
          <w:b w:val="1"/>
          <w:bCs w:val="1"/>
          <w:color w:val="auto"/>
        </w:rPr>
        <w:t>Incentive Compensation</w:t>
      </w:r>
      <w:r>
        <w:rPr>
          <w:rFonts w:ascii="Arial" w:cs="Arial" w:eastAsia="Arial" w:hAnsi="Arial"/>
          <w:sz w:val="21"/>
          <w:szCs w:val="21"/>
          <w:color w:val="auto"/>
        </w:rPr>
        <w:t>”), based upon the attainment of individual performance objectives established by the President. Details of the bonus program will be included in a separate document.</w:t>
      </w:r>
    </w:p>
    <w:p>
      <w:pPr>
        <w:spacing w:after="0" w:line="16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u w:val="single" w:color="auto"/>
          <w:color w:val="auto"/>
        </w:rPr>
        <w:t>4.3</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Equity Incentives</w:t>
      </w:r>
      <w:r>
        <w:rPr>
          <w:rFonts w:ascii="Arial" w:cs="Arial" w:eastAsia="Arial" w:hAnsi="Arial"/>
          <w:sz w:val="22"/>
          <w:szCs w:val="22"/>
          <w:color w:val="auto"/>
        </w:rPr>
        <w:t>. Executive will be eligible for equity incentive grants at the discretion of the President and the Compensation Committee of the Board of Directors.</w:t>
      </w:r>
    </w:p>
    <w:p>
      <w:pPr>
        <w:spacing w:after="0" w:line="162"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u w:val="single" w:color="auto"/>
          <w:color w:val="auto"/>
        </w:rPr>
        <w:t>4.4</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Participation in Benefit Plans</w:t>
      </w:r>
      <w:r>
        <w:rPr>
          <w:rFonts w:ascii="Arial" w:cs="Arial" w:eastAsia="Arial" w:hAnsi="Arial"/>
          <w:sz w:val="19"/>
          <w:szCs w:val="19"/>
          <w:color w:val="auto"/>
        </w:rPr>
        <w:t xml:space="preserve">. Executive and eligible family members shall be eligible to participate in, subject to his affirmative election to enroll in such plans requiring enrollment, to the extent eligible thereunder in any and all plans of the Company providing general benefits for the Company’s employees, including, but not limited to, any group life insurance, hospitalization, disability, paid time off, medical, dental, pension, profit sharing, savings and stock bonus plans. Executive’s participation in any such plan or program shall be subject to the provisions, rules, and regulations applicable thereto. Nothing in this Agreement shall impose on the Company any affirmative obligation to establish any benefit plan. The Company reserves the right to prospectively terminate or change benefit plans and programs it offers to its employees at any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will not reduce or discontinue Executive’s benefits in place on the Effective Date unless such</w:t>
      </w:r>
      <w:r>
        <w:rPr>
          <w:rFonts w:ascii="Arial" w:cs="Arial" w:eastAsia="Arial" w:hAnsi="Arial"/>
          <w:sz w:val="19"/>
          <w:szCs w:val="19"/>
          <w:i w:val="1"/>
          <w:iCs w:val="1"/>
          <w:color w:val="auto"/>
        </w:rPr>
        <w:t xml:space="preserve"> </w:t>
      </w:r>
      <w:r>
        <w:rPr>
          <w:rFonts w:ascii="Arial" w:cs="Arial" w:eastAsia="Arial" w:hAnsi="Arial"/>
          <w:sz w:val="19"/>
          <w:szCs w:val="19"/>
          <w:color w:val="auto"/>
        </w:rPr>
        <w:t>reduction or discontinuance is applied to all other employees of the Company participating in such benefits or unless such reduction or discontinuance is implemented to avoid adverse tax or legal consequences.</w:t>
      </w:r>
    </w:p>
    <w:p>
      <w:pPr>
        <w:spacing w:after="0" w:line="150"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1"/>
          <w:szCs w:val="21"/>
          <w:u w:val="single" w:color="auto"/>
          <w:color w:val="auto"/>
        </w:rPr>
        <w:t>4.5</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Expenses</w:t>
      </w:r>
      <w:r>
        <w:rPr>
          <w:rFonts w:ascii="Arial" w:cs="Arial" w:eastAsia="Arial" w:hAnsi="Arial"/>
          <w:sz w:val="21"/>
          <w:szCs w:val="21"/>
          <w:color w:val="auto"/>
        </w:rPr>
        <w:t>. In accordance with the Company’s policies established from time to time, the Company will pay or reimburse Executive for all reasonable and necessary out-of-pocket expenses incurred by him in the performance of the Position, subject to the presentment of appropriate receipts or expense reports in accordance with the Company’s policies and procedures. The following provisions shall be in effect for any reimbursements (and in-kind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490"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b w:val="1"/>
          <w:bCs w:val="1"/>
          <w:color w:val="auto"/>
        </w:rPr>
        <w:t>Exhibit 10.19</w:t>
      </w:r>
    </w:p>
    <w:p>
      <w:pPr>
        <w:spacing w:after="0" w:line="200" w:lineRule="exact"/>
        <w:rPr>
          <w:sz w:val="20"/>
          <w:szCs w:val="20"/>
          <w:color w:val="auto"/>
        </w:rPr>
      </w:pP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benefits) to which Executive otherwise becomes entitled under this Agreement, in order to assure that such reimbursements (and benefits) do not create a deferred compensation arrangement subject to Section 409A of the Internal Revenue Code of 1986, as amended (“</w:t>
      </w:r>
      <w:r>
        <w:rPr>
          <w:rFonts w:ascii="Arial" w:cs="Arial" w:eastAsia="Arial" w:hAnsi="Arial"/>
          <w:sz w:val="22"/>
          <w:szCs w:val="22"/>
          <w:b w:val="1"/>
          <w:bCs w:val="1"/>
          <w:color w:val="auto"/>
        </w:rPr>
        <w:t>Code</w:t>
      </w:r>
      <w:r>
        <w:rPr>
          <w:rFonts w:ascii="Arial" w:cs="Arial" w:eastAsia="Arial" w:hAnsi="Arial"/>
          <w:sz w:val="22"/>
          <w:szCs w:val="22"/>
          <w:color w:val="auto"/>
        </w:rPr>
        <w:t>”):</w:t>
      </w:r>
    </w:p>
    <w:p>
      <w:pPr>
        <w:spacing w:after="0" w:line="185" w:lineRule="exact"/>
        <w:rPr>
          <w:sz w:val="20"/>
          <w:szCs w:val="20"/>
          <w:color w:val="auto"/>
        </w:rPr>
      </w:pPr>
    </w:p>
    <w:p>
      <w:pPr>
        <w:jc w:val="both"/>
        <w:ind w:firstLine="1304"/>
        <w:spacing w:after="0" w:line="253" w:lineRule="auto"/>
        <w:tabs>
          <w:tab w:leader="none" w:pos="1842"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amount of reimbursements (or in-kind benefits) to which Executive may become entitled in any one calendar year shall not affect the amount of expenses eligible for reimbursement (or in-kind benefits) hereunder in any other calendar year.</w:t>
      </w:r>
    </w:p>
    <w:p>
      <w:pPr>
        <w:spacing w:after="0" w:line="185" w:lineRule="exact"/>
        <w:rPr>
          <w:rFonts w:ascii="Arial" w:cs="Arial" w:eastAsia="Arial" w:hAnsi="Arial"/>
          <w:sz w:val="22"/>
          <w:szCs w:val="22"/>
          <w:color w:val="auto"/>
        </w:rPr>
      </w:pPr>
    </w:p>
    <w:p>
      <w:pPr>
        <w:jc w:val="both"/>
        <w:ind w:firstLine="1304"/>
        <w:spacing w:after="0" w:line="312" w:lineRule="auto"/>
        <w:tabs>
          <w:tab w:leader="none" w:pos="1932" w:val="left"/>
        </w:tabs>
        <w:numPr>
          <w:ilvl w:val="0"/>
          <w:numId w:val="48"/>
        </w:numPr>
        <w:rPr>
          <w:rFonts w:ascii="Arial" w:cs="Arial" w:eastAsia="Arial" w:hAnsi="Arial"/>
          <w:sz w:val="19"/>
          <w:szCs w:val="19"/>
          <w:color w:val="auto"/>
        </w:rPr>
      </w:pPr>
      <w:r>
        <w:rPr>
          <w:rFonts w:ascii="Arial" w:cs="Arial" w:eastAsia="Arial" w:hAnsi="Arial"/>
          <w:sz w:val="19"/>
          <w:szCs w:val="19"/>
          <w:color w:val="auto"/>
        </w:rPr>
        <w:t>Each reimbursement to which Executive becomes entitled shall be made by the Company as soon as administratively practicable following Executive’s submission of the supporting documentation, but in no event later than the close of business of the calendar year following the calendar year in which the reimbursable expense is incurred.</w:t>
      </w:r>
    </w:p>
    <w:p>
      <w:pPr>
        <w:spacing w:after="0" w:line="133" w:lineRule="exact"/>
        <w:rPr>
          <w:sz w:val="20"/>
          <w:szCs w:val="20"/>
          <w:color w:val="auto"/>
        </w:rPr>
      </w:pPr>
    </w:p>
    <w:p>
      <w:pPr>
        <w:ind w:left="1800" w:hanging="573"/>
        <w:spacing w:after="0"/>
        <w:tabs>
          <w:tab w:leader="none" w:pos="18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Executive’s right to reimbursement (or in-kind benefits) cannot be liquidated or exchanged for any other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benefit or payment.</w:t>
      </w:r>
    </w:p>
    <w:p>
      <w:pPr>
        <w:spacing w:after="0" w:line="19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u w:val="single" w:color="auto"/>
          <w:color w:val="auto"/>
        </w:rPr>
        <w:t>4.6</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Taxes and Other Withholding</w:t>
      </w:r>
      <w:r>
        <w:rPr>
          <w:rFonts w:ascii="Arial" w:cs="Arial" w:eastAsia="Arial" w:hAnsi="Arial"/>
          <w:sz w:val="22"/>
          <w:szCs w:val="22"/>
          <w:color w:val="auto"/>
        </w:rPr>
        <w:t>. The Company may withhold from any benefits or amounts payable under this Agreement all federal, state, city or other taxes and other amounts as shall be required or permitted pursuant to any law or governmental regulation or ruling or as elected by Executive.</w:t>
      </w:r>
    </w:p>
    <w:p>
      <w:pPr>
        <w:spacing w:after="0" w:line="176" w:lineRule="exact"/>
        <w:rPr>
          <w:sz w:val="20"/>
          <w:szCs w:val="20"/>
          <w:color w:val="auto"/>
        </w:rPr>
      </w:pPr>
    </w:p>
    <w:p>
      <w:pPr>
        <w:ind w:firstLine="656"/>
        <w:spacing w:after="0" w:line="269" w:lineRule="auto"/>
        <w:tabs>
          <w:tab w:leader="none" w:pos="1296"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Annual Leave</w:t>
      </w:r>
      <w:r>
        <w:rPr>
          <w:rFonts w:ascii="Arial" w:cs="Arial" w:eastAsia="Arial" w:hAnsi="Arial"/>
          <w:sz w:val="22"/>
          <w:szCs w:val="22"/>
          <w:color w:val="auto"/>
        </w:rPr>
        <w:t>. Executive shall earn paid time off and shall maintain paid time off balances in accordance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standard policies applicable to similarly situated executives.</w:t>
      </w:r>
    </w:p>
    <w:p>
      <w:pPr>
        <w:spacing w:after="0" w:line="161" w:lineRule="exact"/>
        <w:rPr>
          <w:rFonts w:ascii="Arial" w:cs="Arial" w:eastAsia="Arial" w:hAnsi="Arial"/>
          <w:sz w:val="22"/>
          <w:szCs w:val="22"/>
          <w:color w:val="auto"/>
        </w:rPr>
      </w:pPr>
    </w:p>
    <w:p>
      <w:pPr>
        <w:jc w:val="both"/>
        <w:ind w:firstLine="656"/>
        <w:spacing w:after="0" w:line="256" w:lineRule="auto"/>
        <w:tabs>
          <w:tab w:leader="none" w:pos="1296"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Compensation upon Termination</w:t>
      </w:r>
      <w:r>
        <w:rPr>
          <w:rFonts w:ascii="Arial" w:cs="Arial" w:eastAsia="Arial" w:hAnsi="Arial"/>
          <w:sz w:val="22"/>
          <w:szCs w:val="22"/>
          <w:color w:val="auto"/>
        </w:rPr>
        <w:t>. Executive shall be entitled to the following payments, if any, upon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of his employment by the Company. The compensation described in this Section 6 shall be in lieu of any other separation or severance compensation offered to Executive under any general policies of the Company.</w:t>
      </w:r>
    </w:p>
    <w:p>
      <w:pPr>
        <w:spacing w:after="0" w:line="17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u w:val="single" w:color="auto"/>
          <w:color w:val="auto"/>
        </w:rPr>
        <w:t>6.1</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For Cause</w:t>
      </w:r>
      <w:r>
        <w:rPr>
          <w:rFonts w:ascii="Arial" w:cs="Arial" w:eastAsia="Arial" w:hAnsi="Arial"/>
          <w:sz w:val="22"/>
          <w:szCs w:val="22"/>
          <w:color w:val="auto"/>
        </w:rPr>
        <w:t>. In the event Executive is terminated by the Company for Cause pursuant to Section 11.1, Executive shall not be entitled to any compensation other than Base Salary accrued through the date of termination, unreimbursed business expenses under Section 4.5, accrued but unused paid time off under Section 5, and any earned and accrued, but not yet paid, Incentive Compensation as of the date of termination pursuant to the terms of any then-existing incentive compensation plan (collectively, the “</w:t>
      </w:r>
      <w:r>
        <w:rPr>
          <w:rFonts w:ascii="Arial" w:cs="Arial" w:eastAsia="Arial" w:hAnsi="Arial"/>
          <w:sz w:val="22"/>
          <w:szCs w:val="22"/>
          <w:b w:val="1"/>
          <w:bCs w:val="1"/>
          <w:color w:val="auto"/>
        </w:rPr>
        <w:t>Accrued Payments</w:t>
      </w:r>
      <w:r>
        <w:rPr>
          <w:rFonts w:ascii="Arial" w:cs="Arial" w:eastAsia="Arial" w:hAnsi="Arial"/>
          <w:sz w:val="22"/>
          <w:szCs w:val="22"/>
          <w:color w:val="auto"/>
        </w:rPr>
        <w:t>”).</w:t>
      </w:r>
    </w:p>
    <w:p>
      <w:pPr>
        <w:spacing w:after="0" w:line="186"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u w:val="single" w:color="auto"/>
          <w:color w:val="auto"/>
        </w:rPr>
        <w:t>6.2</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Resignation</w:t>
      </w:r>
      <w:r>
        <w:rPr>
          <w:rFonts w:ascii="Arial" w:cs="Arial" w:eastAsia="Arial" w:hAnsi="Arial"/>
          <w:sz w:val="19"/>
          <w:szCs w:val="19"/>
          <w:color w:val="auto"/>
        </w:rPr>
        <w:t>. In the event Executive resigns from the Company voluntarily pursuant to Section 11.2, Executive shall not be entitled to any compensation other than the Accrued Payments. Should Executive resign his employment upon thirty</w:t>
      </w:r>
    </w:p>
    <w:p>
      <w:pPr>
        <w:spacing w:after="0" w:line="2" w:lineRule="exact"/>
        <w:rPr>
          <w:sz w:val="20"/>
          <w:szCs w:val="20"/>
          <w:color w:val="auto"/>
        </w:rPr>
      </w:pPr>
    </w:p>
    <w:p>
      <w:pPr>
        <w:jc w:val="both"/>
        <w:ind w:firstLine="8"/>
        <w:spacing w:after="0" w:line="244" w:lineRule="auto"/>
        <w:tabs>
          <w:tab w:leader="none" w:pos="434" w:val="left"/>
        </w:tabs>
        <w:numPr>
          <w:ilvl w:val="0"/>
          <w:numId w:val="51"/>
        </w:numPr>
        <w:rPr>
          <w:rFonts w:ascii="Arial" w:cs="Arial" w:eastAsia="Arial" w:hAnsi="Arial"/>
          <w:sz w:val="22"/>
          <w:szCs w:val="22"/>
          <w:color w:val="auto"/>
        </w:rPr>
      </w:pPr>
      <w:r>
        <w:rPr>
          <w:rFonts w:ascii="Arial" w:cs="Arial" w:eastAsia="Arial" w:hAnsi="Arial"/>
          <w:sz w:val="22"/>
          <w:szCs w:val="22"/>
          <w:color w:val="auto"/>
        </w:rPr>
        <w:t>days’ advance written notice, the Company reserves the right to relieve Executive of all job duties on notice and provide Executive with payment in lieu of any remaining portion of the notice period; provided, however, if the Executive provides more than 30 days’ advance notice, the Company may select an earlier termination date and treat such earlier termination date as the date which Executive selected for his termination.</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6.3</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Without Cause</w:t>
      </w:r>
      <w:r>
        <w:rPr>
          <w:rFonts w:ascii="Arial" w:cs="Arial" w:eastAsia="Arial" w:hAnsi="Arial"/>
          <w:sz w:val="19"/>
          <w:szCs w:val="19"/>
          <w:color w:val="auto"/>
        </w:rPr>
        <w:t>. In the event Executive is terminated by the Company Without Cause pursuant to Section</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11.3, the Executive shall not be entitled to any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490" w:right="339" w:bottom="1440" w:gutter="0" w:footer="0" w:header="0"/>
        </w:sectPr>
      </w:pPr>
    </w:p>
    <w:bookmarkStart w:id="110" w:name="page111"/>
    <w:bookmarkEnd w:id="110"/>
    <w:p>
      <w:pPr>
        <w:ind w:left="10020"/>
        <w:spacing w:after="0"/>
        <w:rPr>
          <w:sz w:val="20"/>
          <w:szCs w:val="20"/>
          <w:color w:val="auto"/>
        </w:rPr>
      </w:pPr>
      <w:r>
        <w:rPr>
          <w:rFonts w:ascii="Arial" w:cs="Arial" w:eastAsia="Arial" w:hAnsi="Arial"/>
          <w:sz w:val="19"/>
          <w:szCs w:val="19"/>
          <w:b w:val="1"/>
          <w:bCs w:val="1"/>
          <w:color w:val="auto"/>
        </w:rPr>
        <w:t>Exhibit 10.19</w:t>
      </w:r>
    </w:p>
    <w:p>
      <w:pPr>
        <w:spacing w:after="0" w:line="200" w:lineRule="exact"/>
        <w:rPr>
          <w:sz w:val="20"/>
          <w:szCs w:val="20"/>
          <w:color w:val="auto"/>
        </w:rPr>
      </w:pPr>
    </w:p>
    <w:p>
      <w:pPr>
        <w:spacing w:after="0" w:line="263"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and the Company shall only: (i) pay to Executive the Accrued Payments; (ii) pay to Executive continued payment of the Base Salary for twelve (12) months (the “</w:t>
      </w:r>
      <w:r>
        <w:rPr>
          <w:rFonts w:ascii="Arial" w:cs="Arial" w:eastAsia="Arial" w:hAnsi="Arial"/>
          <w:sz w:val="21"/>
          <w:szCs w:val="21"/>
          <w:b w:val="1"/>
          <w:bCs w:val="1"/>
          <w:color w:val="auto"/>
        </w:rPr>
        <w:t>Severance Period</w:t>
      </w:r>
      <w:r>
        <w:rPr>
          <w:rFonts w:ascii="Arial" w:cs="Arial" w:eastAsia="Arial" w:hAnsi="Arial"/>
          <w:sz w:val="21"/>
          <w:szCs w:val="21"/>
          <w:color w:val="auto"/>
        </w:rPr>
        <w:t>”), and (iii) make available continued medical and dental benefits for Executive and eligible family members under the Company-sponsored group health plans in which Executive and eligible family members were enrolled at the termination of his employment at the employee contribution rate during the Severance Period, unless doing so would result in adverse tax or other consequences under Section 105(h) of the Code or under the Patient Protection and Affordable Care Act, as amended (which coverage shall run concurrently with COBRA coverage). The aggregate benefits provided by Subsections (ii) and (iii) of this Section 6.3 shall be referred to as a “</w:t>
      </w:r>
      <w:r>
        <w:rPr>
          <w:rFonts w:ascii="Arial" w:cs="Arial" w:eastAsia="Arial" w:hAnsi="Arial"/>
          <w:sz w:val="21"/>
          <w:szCs w:val="21"/>
          <w:b w:val="1"/>
          <w:bCs w:val="1"/>
          <w:color w:val="auto"/>
        </w:rPr>
        <w:t>Severance Payment.</w:t>
      </w:r>
      <w:r>
        <w:rPr>
          <w:rFonts w:ascii="Arial" w:cs="Arial" w:eastAsia="Arial" w:hAnsi="Arial"/>
          <w:sz w:val="21"/>
          <w:szCs w:val="21"/>
          <w:color w:val="auto"/>
        </w:rPr>
        <w:t>” Except as otherwise provided herein, the Severance Payment shall be paid to Executive on a regular basis in accordance with the Company’s regular payroll procedures and policies.</w:t>
      </w:r>
    </w:p>
    <w:p>
      <w:pPr>
        <w:spacing w:after="0" w:line="173"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u w:val="single" w:color="auto"/>
          <w:color w:val="auto"/>
        </w:rPr>
        <w:t>6.4</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Disability</w:t>
      </w:r>
      <w:r>
        <w:rPr>
          <w:rFonts w:ascii="Arial" w:cs="Arial" w:eastAsia="Arial" w:hAnsi="Arial"/>
          <w:sz w:val="22"/>
          <w:szCs w:val="22"/>
          <w:color w:val="auto"/>
        </w:rPr>
        <w:t>. If Executive becomes disabled during the term of this Agreement for 120 days in any 365 day period, the Company may, to the extent permitted by applicable law, terminate this Agreement and Executive’s employment by giving written notice to Executive. For purpose of this Agreement, the term “</w:t>
      </w:r>
      <w:r>
        <w:rPr>
          <w:rFonts w:ascii="Arial" w:cs="Arial" w:eastAsia="Arial" w:hAnsi="Arial"/>
          <w:sz w:val="22"/>
          <w:szCs w:val="22"/>
          <w:b w:val="1"/>
          <w:bCs w:val="1"/>
          <w:color w:val="auto"/>
        </w:rPr>
        <w:t>disabled</w:t>
      </w:r>
      <w:r>
        <w:rPr>
          <w:rFonts w:ascii="Arial" w:cs="Arial" w:eastAsia="Arial" w:hAnsi="Arial"/>
          <w:sz w:val="22"/>
          <w:szCs w:val="22"/>
          <w:color w:val="auto"/>
        </w:rPr>
        <w:t>” shall be defined as Executive’s inability through physical or mental illness, to perform all of the duties which Executive is required to perform under this Agreement with or without reasonable accommodation as such terms are defined under the Americans with Disabilities Act. In the event that the Executive is terminated pursuant to this Section, the Executive shall not be entitled to any compensation other than the Accrued Payments.</w:t>
      </w:r>
    </w:p>
    <w:p>
      <w:pPr>
        <w:spacing w:after="0" w:line="189"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u w:val="single" w:color="auto"/>
          <w:color w:val="auto"/>
        </w:rPr>
        <w:t>6.5</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Upon a Change of Control</w:t>
      </w:r>
      <w:r>
        <w:rPr>
          <w:rFonts w:ascii="Arial" w:cs="Arial" w:eastAsia="Arial" w:hAnsi="Arial"/>
          <w:sz w:val="19"/>
          <w:szCs w:val="19"/>
          <w:color w:val="auto"/>
        </w:rPr>
        <w:t>. In the event Executive’s employment is terminated by the Company without Cause (as defined in Section 17 hereto) or Executive resigns for Good Reason (as defined in Section 17 hereto) within the twelve</w:t>
      </w:r>
    </w:p>
    <w:p>
      <w:pPr>
        <w:spacing w:after="0" w:line="2" w:lineRule="exact"/>
        <w:rPr>
          <w:sz w:val="20"/>
          <w:szCs w:val="20"/>
          <w:color w:val="auto"/>
        </w:rPr>
      </w:pPr>
    </w:p>
    <w:p>
      <w:pPr>
        <w:jc w:val="both"/>
        <w:ind w:firstLine="8"/>
        <w:spacing w:after="0" w:line="284" w:lineRule="auto"/>
        <w:tabs>
          <w:tab w:leader="none" w:pos="4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months following a Change of Control of the Company, as defined in the Company’s 2014 Equity Incentive Plan as may be in effect from time to time (a “</w:t>
      </w:r>
      <w:r>
        <w:rPr>
          <w:rFonts w:ascii="Arial" w:cs="Arial" w:eastAsia="Arial" w:hAnsi="Arial"/>
          <w:sz w:val="19"/>
          <w:szCs w:val="19"/>
          <w:b w:val="1"/>
          <w:bCs w:val="1"/>
          <w:color w:val="auto"/>
        </w:rPr>
        <w:t>Change of Control</w:t>
      </w:r>
      <w:r>
        <w:rPr>
          <w:rFonts w:ascii="Arial" w:cs="Arial" w:eastAsia="Arial" w:hAnsi="Arial"/>
          <w:sz w:val="19"/>
          <w:szCs w:val="19"/>
          <w:color w:val="auto"/>
        </w:rPr>
        <w:t>”), the Executive shall not be entitled to any compensation, including pursuant to Section 6.3 above, and the Company shall: (i) pay to Executive the Accrued Payments, (ii) pay to Executive the Base Salary for a period of twelve (12) months (the “</w:t>
      </w:r>
      <w:r>
        <w:rPr>
          <w:rFonts w:ascii="Arial" w:cs="Arial" w:eastAsia="Arial" w:hAnsi="Arial"/>
          <w:sz w:val="19"/>
          <w:szCs w:val="19"/>
          <w:b w:val="1"/>
          <w:bCs w:val="1"/>
          <w:color w:val="auto"/>
        </w:rPr>
        <w:t>Change of Control Severance Period</w:t>
      </w:r>
      <w:r>
        <w:rPr>
          <w:rFonts w:ascii="Arial" w:cs="Arial" w:eastAsia="Arial" w:hAnsi="Arial"/>
          <w:sz w:val="19"/>
          <w:szCs w:val="19"/>
          <w:color w:val="auto"/>
        </w:rPr>
        <w:t>”) and (iii) make available continued medical and dental benefits for Executive and eligible family members under the Company-sponsored group health plans in which Executive and eligible family members were enrolled at the termination of his employment at the employee contribution rate during the Change of Control Severance Period, unless doing so would result in adverse tax or other consequences under Section 105(h) of the Code or under the Patient Protection and Affordable Care Act, as amended (which coverage shall run concurrently with COBRA coverage). The aggregate benefits provided by Subsections (ii) and (iii) of this Section 6.5 shall be referred to as a “</w:t>
      </w:r>
      <w:r>
        <w:rPr>
          <w:rFonts w:ascii="Arial" w:cs="Arial" w:eastAsia="Arial" w:hAnsi="Arial"/>
          <w:sz w:val="19"/>
          <w:szCs w:val="19"/>
          <w:b w:val="1"/>
          <w:bCs w:val="1"/>
          <w:color w:val="auto"/>
        </w:rPr>
        <w:t>Change of Control Severance Payment.</w:t>
      </w:r>
      <w:r>
        <w:rPr>
          <w:rFonts w:ascii="Arial" w:cs="Arial" w:eastAsia="Arial" w:hAnsi="Arial"/>
          <w:sz w:val="19"/>
          <w:szCs w:val="19"/>
          <w:color w:val="auto"/>
        </w:rPr>
        <w:t>” Further, in the event Executive’s employment is terminated by the Company without Cause or Executive resigns for Good Reason within the twelve (12) months following a Change of Control of the Company, 100% of all stock options and restricted stock units granted to him under the Company’s equity incentive plans that remain unvested as of the date of termination shall accelerate, to the extent permissible by law and to the extent doing so would not result in a “plan failure” under Section 409A of the Code, and except as otherwise specifically provided in any then existing vesting provisions set forth in the applicable equity award agreement and/or the Company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490"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2"/>
          <w:szCs w:val="22"/>
          <w:b w:val="1"/>
          <w:bCs w:val="1"/>
          <w:color w:val="auto"/>
        </w:rPr>
        <w:t>Exhibit 10.19</w:t>
      </w:r>
    </w:p>
    <w:p>
      <w:pPr>
        <w:spacing w:after="0" w:line="200" w:lineRule="exact"/>
        <w:rPr>
          <w:sz w:val="20"/>
          <w:szCs w:val="20"/>
          <w:color w:val="auto"/>
        </w:rPr>
      </w:pPr>
    </w:p>
    <w:p>
      <w:pPr>
        <w:spacing w:after="0" w:line="222"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u w:val="single" w:color="auto"/>
          <w:color w:val="auto"/>
        </w:rPr>
        <w:t>6.6</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Release</w:t>
      </w:r>
      <w:r>
        <w:rPr>
          <w:rFonts w:ascii="Arial" w:cs="Arial" w:eastAsia="Arial" w:hAnsi="Arial"/>
          <w:sz w:val="19"/>
          <w:szCs w:val="19"/>
          <w:color w:val="auto"/>
        </w:rPr>
        <w:t>. The receipt of the Severance Payment, Change of Control Severance Payment or other benefits pursuant to this Section 6 (other than the Accrued Payments) will be subject to Executive signing and not revoking a release of claims agreement in a form prescribed by the Company, and such release becoming effective and irrevocable within thirty-five</w:t>
      </w:r>
    </w:p>
    <w:p>
      <w:pPr>
        <w:spacing w:after="0" w:line="1" w:lineRule="exact"/>
        <w:rPr>
          <w:sz w:val="20"/>
          <w:szCs w:val="20"/>
          <w:color w:val="auto"/>
        </w:rPr>
      </w:pPr>
    </w:p>
    <w:p>
      <w:pPr>
        <w:jc w:val="both"/>
        <w:ind w:firstLine="8"/>
        <w:spacing w:after="0" w:line="244" w:lineRule="auto"/>
        <w:tabs>
          <w:tab w:leader="none" w:pos="419" w:val="left"/>
        </w:tabs>
        <w:numPr>
          <w:ilvl w:val="0"/>
          <w:numId w:val="53"/>
        </w:numPr>
        <w:rPr>
          <w:rFonts w:ascii="Arial" w:cs="Arial" w:eastAsia="Arial" w:hAnsi="Arial"/>
          <w:sz w:val="22"/>
          <w:szCs w:val="22"/>
          <w:color w:val="auto"/>
        </w:rPr>
      </w:pPr>
      <w:r>
        <w:rPr>
          <w:rFonts w:ascii="Arial" w:cs="Arial" w:eastAsia="Arial" w:hAnsi="Arial"/>
          <w:sz w:val="22"/>
          <w:szCs w:val="22"/>
          <w:color w:val="auto"/>
        </w:rPr>
        <w:t>days of Executive’s termination. No severance or other benefits will be paid or provided until the 40th day after Executive’s termination, and any severance amounts or benefits otherwise payable between the date of Executive’s termination and the 40th day after Executive’s termination shall be paid 40 days after Executive’s termination, subject to the delay in the following paragraph.</w:t>
      </w:r>
    </w:p>
    <w:p>
      <w:pPr>
        <w:spacing w:after="0" w:line="189"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9"/>
          <w:szCs w:val="19"/>
          <w:u w:val="single" w:color="auto"/>
          <w:color w:val="auto"/>
        </w:rPr>
        <w:t>6.7</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Delay of Payment; Other 409A Matters</w:t>
      </w:r>
      <w:r>
        <w:rPr>
          <w:rFonts w:ascii="Arial" w:cs="Arial" w:eastAsia="Arial" w:hAnsi="Arial"/>
          <w:sz w:val="19"/>
          <w:szCs w:val="19"/>
          <w:b w:val="1"/>
          <w:bCs w:val="1"/>
          <w:color w:val="auto"/>
        </w:rPr>
        <w:t>.</w:t>
      </w:r>
      <w:r>
        <w:rPr>
          <w:rFonts w:ascii="Arial" w:cs="Arial" w:eastAsia="Arial" w:hAnsi="Arial"/>
          <w:sz w:val="19"/>
          <w:szCs w:val="19"/>
          <w:color w:val="auto"/>
        </w:rPr>
        <w:t xml:space="preserve"> Notwithstanding any other provision of this Agreement, the Company, in its sole discretion, shall have the right to construe this Agreement in a manner that complies with Section 409A of the Code (relating to deferred compensation arrangements) and any related administrative guidance. Notwithstanding any inconsistent provision of this Agreement, if Executive is a “specified employee” within the meaning of Section 409A of the Code at the time of Executive’s termination, then only that portion of the Severance Payment or Change of Control Severance Payment, together with any other severance payments or benefits that, in each case, are nonqualified deferred compensation under Section 409A, which (a) do not exceed the Section 409A Limit (as defined below), and (b) which qualify as separation pay under Treasury Regulation Section 1. 409A-1(b)(9)(iii), may be paid within the first six (6) months following Executive’s termination. Otherwise, the portion of the Severance Payment, together with any other severance payments or benefits that, in each case, are nonqualified deferred compensation under Section 409A, that would otherwise be payable within the six (6) month period following Executive’s termination will instead be paid in a lump sum on the date six (6) months and one (1) day following the date of Executive’s termination (or the next business day if such date is not a business day), provided Executive has complied with the requirements for such payment. For purposes of this Agreement, “</w:t>
      </w:r>
      <w:r>
        <w:rPr>
          <w:rFonts w:ascii="Arial" w:cs="Arial" w:eastAsia="Arial" w:hAnsi="Arial"/>
          <w:sz w:val="19"/>
          <w:szCs w:val="19"/>
          <w:b w:val="1"/>
          <w:bCs w:val="1"/>
          <w:color w:val="auto"/>
        </w:rPr>
        <w:t>Section 409A Limit</w:t>
      </w:r>
      <w:r>
        <w:rPr>
          <w:rFonts w:ascii="Arial" w:cs="Arial" w:eastAsia="Arial" w:hAnsi="Arial"/>
          <w:sz w:val="19"/>
          <w:szCs w:val="19"/>
          <w:color w:val="auto"/>
        </w:rPr>
        <w:t>” means the lesser of two (2) times: (i) Executive’s “annualized compensation” as determined under Treasury Regulation Section 1.409A-1(b)(9)(iii)(A)(1),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-2143760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jc w:val="both"/>
        <w:ind w:firstLine="8"/>
        <w:spacing w:after="0" w:line="243" w:lineRule="auto"/>
        <w:tabs>
          <w:tab w:leader="none" w:pos="332"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maximum amount that may be taken into account under a qualified plan pursuant to Section 401(a)(17) of the Code for the year of the termination, or such successor limit as may apply. Each payment specified hereunder is designated a separate payment for purposes of Section 409A. The Company shall have no liability to Executive for any adverse tax or other consequences related to the payments provided hereunder and to the extent any payment or benefit would result in adverse or other tax consequences under Section 409A, Executive shall have no legally enforceable right to such payment or benefit. For purposes of this Agreement, termination of employment and similar phrases mean a “separation from service” within the meaning of Section 409A of the Code.</w:t>
      </w:r>
    </w:p>
    <w:p>
      <w:pPr>
        <w:spacing w:after="0" w:line="194" w:lineRule="exact"/>
        <w:rPr>
          <w:rFonts w:ascii="Arial" w:cs="Arial" w:eastAsia="Arial" w:hAnsi="Arial"/>
          <w:sz w:val="22"/>
          <w:szCs w:val="22"/>
          <w:color w:val="auto"/>
        </w:rPr>
      </w:pPr>
    </w:p>
    <w:p>
      <w:pPr>
        <w:ind w:left="1300" w:hanging="644"/>
        <w:spacing w:after="0"/>
        <w:tabs>
          <w:tab w:leader="none" w:pos="1300" w:val="left"/>
        </w:tabs>
        <w:numPr>
          <w:ilvl w:val="1"/>
          <w:numId w:val="54"/>
        </w:numPr>
        <w:rPr>
          <w:rFonts w:ascii="Arial" w:cs="Arial" w:eastAsia="Arial" w:hAnsi="Arial"/>
          <w:sz w:val="22"/>
          <w:szCs w:val="22"/>
          <w:color w:val="auto"/>
        </w:rPr>
      </w:pPr>
      <w:r>
        <w:rPr>
          <w:rFonts w:ascii="Arial" w:cs="Arial" w:eastAsia="Arial" w:hAnsi="Arial"/>
          <w:sz w:val="22"/>
          <w:szCs w:val="22"/>
          <w:b w:val="1"/>
          <w:bCs w:val="1"/>
          <w:u w:val="single" w:color="auto"/>
          <w:color w:val="auto"/>
        </w:rPr>
        <w:t>Proprietary Matter; Ownership</w:t>
      </w:r>
      <w:r>
        <w:rPr>
          <w:rFonts w:ascii="Arial" w:cs="Arial" w:eastAsia="Arial" w:hAnsi="Arial"/>
          <w:sz w:val="22"/>
          <w:szCs w:val="22"/>
          <w:color w:val="auto"/>
        </w:rPr>
        <w:t>.</w:t>
      </w:r>
    </w:p>
    <w:p>
      <w:pPr>
        <w:spacing w:after="0" w:line="22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7.1 Except as permitted or directed by the Company or as required by law, Executive shall not during the term of his employment or at any time thereafter knowingly divulge, furnish, disclose or make accessible (other than in the ordinary course of the business of the Company) to anyone for use in any way any confidential, secret, or proprietary knowledge or information of the Company or its Affiliates that is not generally known to the relevant public (“</w:t>
      </w:r>
      <w:r>
        <w:rPr>
          <w:rFonts w:ascii="Arial" w:cs="Arial" w:eastAsia="Arial" w:hAnsi="Arial"/>
          <w:sz w:val="22"/>
          <w:szCs w:val="22"/>
          <w:b w:val="1"/>
          <w:bCs w:val="1"/>
          <w:color w:val="auto"/>
        </w:rPr>
        <w:t>Proprietary Matter</w:t>
      </w:r>
      <w:r>
        <w:rPr>
          <w:rFonts w:ascii="Arial" w:cs="Arial" w:eastAsia="Arial" w:hAnsi="Arial"/>
          <w:sz w:val="22"/>
          <w:szCs w:val="22"/>
          <w:color w:val="auto"/>
        </w:rPr>
        <w:t>”) which Executive has acquired or become acquainted with or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490"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2"/>
          <w:szCs w:val="22"/>
          <w:b w:val="1"/>
          <w:bCs w:val="1"/>
          <w:color w:val="auto"/>
        </w:rPr>
        <w:t>Exhibit 10.19</w:t>
      </w:r>
    </w:p>
    <w:p>
      <w:pPr>
        <w:spacing w:after="0" w:line="200" w:lineRule="exact"/>
        <w:rPr>
          <w:sz w:val="20"/>
          <w:szCs w:val="20"/>
          <w:color w:val="auto"/>
        </w:rPr>
      </w:pPr>
    </w:p>
    <w:p>
      <w:pPr>
        <w:spacing w:after="0" w:line="22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acquire or become acquainted with during his employment with the Company and its Affiliates, whether developed by himself or by others, including, but not limited to, any trade secrets, confidential or secret designs, processes, formulae, software or computer programs, plans, devices, or material (whether or not patented or patentable, copyrighted or copyrightable) directly or indirectly useful in any aspect of the business of the Company and its Affiliates, any confidential customer, distributor or supplier lists of the Company or its Affiliates, any confidential or secret development or research work of the Company or its Affiliates, or other confidential, secret or non-public aspects of the business of the Company or its Affiliates. Executive acknowledges that the Proprietary Matter constitutes a unique and valuable asset of the Company or its Affiliates, acquired at great time and expense by the Company or such Affiliates, and that any disclosure or other use of the Proprietary Matter other than for the sole benefit of the Company or such Affiliates would be wrongful and could cause irreparable harm to the Company or such Affiliates. The foregoing obligations of confidentiality, however, shall not apply to any knowledge or information which is now published or which subsequently becomes generally publicly known, other than as a direct or indirect result of the breach of this Agreement by Executive or the breach of any obligation of confidentiality by any other person.</w:t>
      </w:r>
    </w:p>
    <w:p>
      <w:pPr>
        <w:spacing w:after="0" w:line="159"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7.2 Executive agrees that he will fully inform and disclose to the Company from time to time all inventions, designs, improvements, enhancements, developments and discoveries which he now has, or may hereafter have, during the Term which pertain or relate to the business of the Company or its Affiliates or to any experimental work carried on by the Company or its Affiliates. All such inventions, designs, improvements, enhancements, developments and discoveries shall be the exclusive property of the Company or its Affiliates. Executive hereby assigns the rights to all such inventions, designs, improvements, enhancements, developments and discoveries to the Company or its Affiliates. Executive shall reasonably assist the Company or its Affiliates in obtaining patents on all such inventions, designs, improvements, enhancements, developments and discoveries deemed patentable by the Company or its Affiliates and shall execute all documents (including assignments and related affidavits) and do all things reasonably necessary to obtain such patents. This provision shall not apply to any inventions for which no equipment, supplies, facilities or trade secret information of the Company or its Affiliates was used and which was developed on Executive’s own time without using any of the Company’s or its Affiliates’ equipment, supplies, facilities or trade secret information, except for those inventions which either: (a) related at the time of conception or reduction to practice of the invention to the Company’s or its Affiliates’ respective businesses, or actual or demonstrably anticipated research or development of the Company or its Affiliates, or (b) resulted from any work performed by Executive for the Company or its Affiliates.</w:t>
      </w:r>
    </w:p>
    <w:p>
      <w:pPr>
        <w:spacing w:after="0" w:line="16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7.3 Executive acknowledges and understands that,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Further, if an employee files a lawsuit for retaliation by the Company for reporting a suspected violation of law, the employee may disclose the trade secret to the employee’s attorney and use the trade secret information in the court proceeding, if the employee (A) files any document containing the trade secret under seal; and (B) does not disclose the trade secret,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490"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2"/>
          <w:szCs w:val="22"/>
          <w:b w:val="1"/>
          <w:bCs w:val="1"/>
          <w:color w:val="auto"/>
        </w:rPr>
        <w:t>Exhibit 10.19</w:t>
      </w:r>
    </w:p>
    <w:p>
      <w:pPr>
        <w:spacing w:after="0" w:line="200" w:lineRule="exact"/>
        <w:rPr>
          <w:sz w:val="20"/>
          <w:szCs w:val="20"/>
          <w:color w:val="auto"/>
        </w:rPr>
      </w:pPr>
    </w:p>
    <w:p>
      <w:pPr>
        <w:spacing w:after="0" w:line="228"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except pursuant to court order. In the event that disclosure of Company trade secrets was not done in good faith pursuant to the above, the employee may be subject to substantial damages, including punitive damages and attorneys’ fees.</w:t>
      </w:r>
    </w:p>
    <w:p>
      <w:pPr>
        <w:spacing w:after="0" w:line="98" w:lineRule="exact"/>
        <w:rPr>
          <w:sz w:val="20"/>
          <w:szCs w:val="20"/>
          <w:color w:val="auto"/>
        </w:rPr>
      </w:pPr>
    </w:p>
    <w:p>
      <w:pPr>
        <w:jc w:val="both"/>
        <w:ind w:firstLine="656"/>
        <w:spacing w:after="0" w:line="295" w:lineRule="auto"/>
        <w:tabs>
          <w:tab w:leader="none" w:pos="1296" w:val="left"/>
        </w:tabs>
        <w:numPr>
          <w:ilvl w:val="0"/>
          <w:numId w:val="55"/>
        </w:numPr>
        <w:rPr>
          <w:rFonts w:ascii="Arial" w:cs="Arial" w:eastAsia="Arial" w:hAnsi="Arial"/>
          <w:sz w:val="19"/>
          <w:szCs w:val="19"/>
          <w:color w:val="auto"/>
        </w:rPr>
      </w:pPr>
      <w:r>
        <w:rPr>
          <w:rFonts w:ascii="Arial" w:cs="Arial" w:eastAsia="Arial" w:hAnsi="Arial"/>
          <w:sz w:val="19"/>
          <w:szCs w:val="19"/>
          <w:b w:val="1"/>
          <w:bCs w:val="1"/>
          <w:u w:val="single" w:color="auto"/>
          <w:color w:val="auto"/>
        </w:rPr>
        <w:t>Ventures</w:t>
      </w:r>
      <w:r>
        <w:rPr>
          <w:rFonts w:ascii="Arial" w:cs="Arial" w:eastAsia="Arial" w:hAnsi="Arial"/>
          <w:sz w:val="19"/>
          <w:szCs w:val="19"/>
          <w:color w:val="auto"/>
        </w:rPr>
        <w:t>. If, during the term of this Agreement, Executive is engaged in or associated with the planning or</w:t>
      </w:r>
      <w:r>
        <w:rPr>
          <w:rFonts w:ascii="Arial" w:cs="Arial" w:eastAsia="Arial" w:hAnsi="Arial"/>
          <w:sz w:val="19"/>
          <w:szCs w:val="19"/>
          <w:b w:val="1"/>
          <w:bCs w:val="1"/>
          <w:color w:val="auto"/>
        </w:rPr>
        <w:t xml:space="preserve"> </w:t>
      </w:r>
      <w:r>
        <w:rPr>
          <w:rFonts w:ascii="Arial" w:cs="Arial" w:eastAsia="Arial" w:hAnsi="Arial"/>
          <w:sz w:val="19"/>
          <w:szCs w:val="19"/>
          <w:color w:val="auto"/>
        </w:rPr>
        <w:t>implementing of any project, program or venture directly related to the business of the Company or its Affiliates including those involving a third party or parties, all rights in the project, program or venture shall belong to the Company and shall constitute a corporate opportunity belonging exclusively to the Company. Except as expressly approved in writing by the Company, Executive shall not be entitled to any interest in such project, program or venture or to any commission, finder’s fee or other compensation in connection therewith, other than the compensation to be paid to Executive as provided in this Agreement.</w:t>
      </w:r>
    </w:p>
    <w:p>
      <w:pPr>
        <w:spacing w:after="0" w:line="143" w:lineRule="exact"/>
        <w:rPr>
          <w:rFonts w:ascii="Arial" w:cs="Arial" w:eastAsia="Arial" w:hAnsi="Arial"/>
          <w:sz w:val="19"/>
          <w:szCs w:val="19"/>
          <w:color w:val="auto"/>
        </w:rPr>
      </w:pPr>
    </w:p>
    <w:p>
      <w:pPr>
        <w:ind w:left="1300" w:hanging="644"/>
        <w:spacing w:after="0"/>
        <w:tabs>
          <w:tab w:leader="none" w:pos="1300"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Noninterference With Business</w:t>
      </w:r>
      <w:r>
        <w:rPr>
          <w:rFonts w:ascii="Arial" w:cs="Arial" w:eastAsia="Arial" w:hAnsi="Arial"/>
          <w:sz w:val="22"/>
          <w:szCs w:val="22"/>
          <w:color w:val="auto"/>
        </w:rPr>
        <w:t>.</w:t>
      </w:r>
    </w:p>
    <w:p>
      <w:pPr>
        <w:spacing w:after="0" w:line="226"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9.1 During the Restricted Period (as defined in Section 17.6), Executive agrees not to, whether on his own behalf or as a partner, officer, director, employee, agent or consultant of any other person or entity, directly or indirectly, engage, attempt to engage, or prepare to engage in a business that is similar to the type of business conducted by the US Division for the purpose of improperly diverting or taking away business from the US Division or the Company in any geographic area in which the US Division was engaged in business as of the date of termination of Executive’s employment with the Company (except by ownership of five percent (5%) or less of the outstanding stock of any publicly held corporation).</w:t>
      </w:r>
    </w:p>
    <w:p>
      <w:pPr>
        <w:spacing w:after="0" w:line="149"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9.2 During the Restricted Period, Executive agrees not to (a) directly or indirectly contact any of the US Division’s current customers with whom the US Division was, at the Effective Date or during Executive’s employment with the Company, engaged in discussions or proposal negotiations for the purposes of improperly diverting or taking away business from the US Division or the Company; or (b) otherwise knowingly interfere with, impair, disrupt or damage the US Division or the Company’s relationship with any of its current customers with whom the US Division was, at the Effective Date or during Executive’s employment with the Company, engaged in discussions or proposal negotiations.</w:t>
      </w:r>
    </w:p>
    <w:p>
      <w:pPr>
        <w:spacing w:after="0" w:line="179"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9.3 During the Restricted Period, other than in the performance of his Position, Executive agrees not to knowingly directly or indirectly solicit, induce or attempt to induce any Company employee, consultant or independent contractor who holds a position uniquely essential to the management, organization, or service of the Company or its Affiliates to terminate or breach an employment, contractual or other relationship with the Company or its Affiliates or to perform services for any other person or entity.</w:t>
      </w:r>
    </w:p>
    <w:p>
      <w:pPr>
        <w:spacing w:after="0" w:line="19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9.4 During the Restricted Period, Executive agrees not to, whether on his own behalf or as a partner, officer, director, employee, agent or consultant of any other person or entity, directly or indirectly, engage or attempt to engage in an employment or business activity which competes against the Company or its Affiliates, any activity the Company or its Affiliates are considering undertaking or is otherwise in conflict with the Company’s or its Affiliates’ business interests, unless the Company’s CEO consents in writing in advance.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490"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2"/>
          <w:szCs w:val="22"/>
          <w:b w:val="1"/>
          <w:bCs w:val="1"/>
          <w:color w:val="auto"/>
        </w:rPr>
        <w:t>Exhibit 10.19</w:t>
      </w:r>
    </w:p>
    <w:p>
      <w:pPr>
        <w:spacing w:after="0" w:line="200" w:lineRule="exact"/>
        <w:rPr>
          <w:sz w:val="20"/>
          <w:szCs w:val="20"/>
          <w:color w:val="auto"/>
        </w:rPr>
      </w:pPr>
    </w:p>
    <w:p>
      <w:pPr>
        <w:spacing w:after="0" w:line="22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9.5 During his employment and thereafter, Executive agrees not to use confidential information previously acquired from the Company or its Affiliates to knowingly directly or indirectly solicit, induce or attempt to induce any employee to terminate or breach an employment relationship with the Company or its Affiliates.</w:t>
      </w:r>
    </w:p>
    <w:p>
      <w:pPr>
        <w:spacing w:after="0" w:line="185"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9.6 Executive acknowledges and agrees that during the term of his employment relationship with the Company, he will be provided with access to highly valuable trade secrets and other confidential and proprietary information of the Company and its Affiliates. Because of Executive’s on-going access to such confidential and proprietary information throughout the term of his employment with the Company, Executive and the Company agree that the restrictions in this Section 9 are reasonably necessary to protect the Company’s legitimate business interests, including, without limitation, the preservation of its valuable trade secret and confidential information and the preservation of its customer relationships. This Section 9 is in no way intended to limit (a) any restrictions available to the Company under Section 7 to prevent the use or disclosure of Proprietary Matter or (b) any of the non-competition provisions set forth in Section 6.2 of that certain Purchase Agreement entered into in connection with the Transaction (the “Purchase Agreement”), which are not superseded or modified by this Agreement.</w:t>
      </w:r>
    </w:p>
    <w:p>
      <w:pPr>
        <w:spacing w:after="0" w:line="151" w:lineRule="exact"/>
        <w:rPr>
          <w:sz w:val="20"/>
          <w:szCs w:val="20"/>
          <w:color w:val="auto"/>
        </w:rPr>
      </w:pPr>
    </w:p>
    <w:p>
      <w:pPr>
        <w:jc w:val="both"/>
        <w:ind w:firstLine="656"/>
        <w:spacing w:after="0" w:line="264" w:lineRule="auto"/>
        <w:tabs>
          <w:tab w:leader="none" w:pos="1296" w:val="left"/>
        </w:tabs>
        <w:numPr>
          <w:ilvl w:val="0"/>
          <w:numId w:val="56"/>
        </w:numPr>
        <w:rPr>
          <w:rFonts w:ascii="Arial" w:cs="Arial" w:eastAsia="Arial" w:hAnsi="Arial"/>
          <w:sz w:val="21"/>
          <w:szCs w:val="21"/>
          <w:color w:val="auto"/>
        </w:rPr>
      </w:pPr>
      <w:r>
        <w:rPr>
          <w:rFonts w:ascii="Arial" w:cs="Arial" w:eastAsia="Arial" w:hAnsi="Arial"/>
          <w:sz w:val="21"/>
          <w:szCs w:val="21"/>
          <w:b w:val="1"/>
          <w:bCs w:val="1"/>
          <w:u w:val="single" w:color="auto"/>
          <w:color w:val="auto"/>
        </w:rPr>
        <w:t>Non-Disparagement</w:t>
      </w:r>
      <w:r>
        <w:rPr>
          <w:rFonts w:ascii="Arial" w:cs="Arial" w:eastAsia="Arial" w:hAnsi="Arial"/>
          <w:sz w:val="21"/>
          <w:szCs w:val="21"/>
          <w:color w:val="auto"/>
        </w:rPr>
        <w:t>. Executive expressly agrees that during his employment with the Company and after the</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termination of such employment for any reason, he will make no statement and take no actions of any kind, verbal or written, that directly or indirectly disparages the Company or the Related Parties, injures their general reputation or interferes with the Company’s or its Affiliates’ operations, except as required by applicable law. Nothing in this Section 10 shall restrict the Executive from cooperating or communicating with any governmental or listing entity.</w:t>
      </w:r>
    </w:p>
    <w:p>
      <w:pPr>
        <w:spacing w:after="0" w:line="170" w:lineRule="exact"/>
        <w:rPr>
          <w:rFonts w:ascii="Arial" w:cs="Arial" w:eastAsia="Arial" w:hAnsi="Arial"/>
          <w:sz w:val="21"/>
          <w:szCs w:val="21"/>
          <w:color w:val="auto"/>
        </w:rPr>
      </w:pPr>
    </w:p>
    <w:p>
      <w:pPr>
        <w:ind w:left="1300" w:hanging="644"/>
        <w:spacing w:after="0"/>
        <w:tabs>
          <w:tab w:leader="none" w:pos="1300"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Prior to Expiration of the Term</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u w:val="single" w:color="auto"/>
          <w:color w:val="auto"/>
        </w:rPr>
        <w:t>11.1</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Termination for Cause</w:t>
      </w:r>
      <w:r>
        <w:rPr>
          <w:rFonts w:ascii="Arial" w:cs="Arial" w:eastAsia="Arial" w:hAnsi="Arial"/>
          <w:sz w:val="22"/>
          <w:szCs w:val="22"/>
          <w:color w:val="auto"/>
        </w:rPr>
        <w:t>. The Company may terminate Executive’s employment at any time for “</w:t>
      </w:r>
      <w:r>
        <w:rPr>
          <w:rFonts w:ascii="Arial" w:cs="Arial" w:eastAsia="Arial" w:hAnsi="Arial"/>
          <w:sz w:val="22"/>
          <w:szCs w:val="22"/>
          <w:b w:val="1"/>
          <w:bCs w:val="1"/>
          <w:color w:val="auto"/>
        </w:rPr>
        <w:t>Cause</w:t>
      </w:r>
      <w:r>
        <w:rPr>
          <w:rFonts w:ascii="Arial" w:cs="Arial" w:eastAsia="Arial" w:hAnsi="Arial"/>
          <w:sz w:val="22"/>
          <w:szCs w:val="22"/>
          <w:color w:val="auto"/>
        </w:rPr>
        <w:t>” (as defined in Section 17) immediately upon written notice to Executive. Such written notice shall set forth with reasonable specificity the Company’s basis for such termination.</w:t>
      </w:r>
    </w:p>
    <w:p>
      <w:pPr>
        <w:spacing w:after="0" w:line="17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u w:val="single" w:color="auto"/>
          <w:color w:val="auto"/>
        </w:rPr>
        <w:t>11.2</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Resignation</w:t>
      </w:r>
      <w:r>
        <w:rPr>
          <w:rFonts w:ascii="Arial" w:cs="Arial" w:eastAsia="Arial" w:hAnsi="Arial"/>
          <w:sz w:val="22"/>
          <w:szCs w:val="22"/>
          <w:color w:val="auto"/>
        </w:rPr>
        <w:t>. Executive’s employment shall be terminated on the earlier of the date that is thirty (30) days following the submission of Executive’s written resignation to the Company or the date such resignation is accepted by the Company.</w:t>
      </w:r>
    </w:p>
    <w:p>
      <w:pPr>
        <w:spacing w:after="0" w:line="176" w:lineRule="exact"/>
        <w:rPr>
          <w:sz w:val="20"/>
          <w:szCs w:val="20"/>
          <w:color w:val="auto"/>
        </w:rPr>
      </w:pPr>
    </w:p>
    <w:p>
      <w:pPr>
        <w:jc w:val="both"/>
        <w:ind w:right="20" w:firstLine="1296"/>
        <w:spacing w:after="0" w:line="274" w:lineRule="auto"/>
        <w:rPr>
          <w:sz w:val="20"/>
          <w:szCs w:val="20"/>
          <w:color w:val="auto"/>
        </w:rPr>
      </w:pPr>
      <w:r>
        <w:rPr>
          <w:rFonts w:ascii="Arial" w:cs="Arial" w:eastAsia="Arial" w:hAnsi="Arial"/>
          <w:sz w:val="21"/>
          <w:szCs w:val="21"/>
          <w:u w:val="single" w:color="auto"/>
          <w:color w:val="auto"/>
        </w:rPr>
        <w:t>11.3</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Termination Without Cause</w:t>
      </w:r>
      <w:r>
        <w:rPr>
          <w:rFonts w:ascii="Arial" w:cs="Arial" w:eastAsia="Arial" w:hAnsi="Arial"/>
          <w:sz w:val="21"/>
          <w:szCs w:val="21"/>
          <w:color w:val="auto"/>
        </w:rPr>
        <w:t>. The Company may terminate Executive’s employment Without Cause upon written notice to Executive. Termination “</w:t>
      </w:r>
      <w:r>
        <w:rPr>
          <w:rFonts w:ascii="Arial" w:cs="Arial" w:eastAsia="Arial" w:hAnsi="Arial"/>
          <w:sz w:val="21"/>
          <w:szCs w:val="21"/>
          <w:b w:val="1"/>
          <w:bCs w:val="1"/>
          <w:color w:val="auto"/>
        </w:rPr>
        <w:t>Without Cause</w:t>
      </w:r>
      <w:r>
        <w:rPr>
          <w:rFonts w:ascii="Arial" w:cs="Arial" w:eastAsia="Arial" w:hAnsi="Arial"/>
          <w:sz w:val="21"/>
          <w:szCs w:val="21"/>
          <w:color w:val="auto"/>
        </w:rPr>
        <w:t>” shall mean termination of employment by the Company on any basis other than termination of Executive’s employment hereunder pursuant to 6.4, 11.1 or 11.2.</w:t>
      </w:r>
    </w:p>
    <w:p>
      <w:pPr>
        <w:spacing w:after="0" w:line="158" w:lineRule="exact"/>
        <w:rPr>
          <w:sz w:val="20"/>
          <w:szCs w:val="20"/>
          <w:color w:val="auto"/>
        </w:rPr>
      </w:pPr>
    </w:p>
    <w:p>
      <w:pPr>
        <w:jc w:val="both"/>
        <w:ind w:firstLine="656"/>
        <w:spacing w:after="0" w:line="249" w:lineRule="auto"/>
        <w:tabs>
          <w:tab w:leader="none" w:pos="1296" w:val="left"/>
        </w:tabs>
        <w:numPr>
          <w:ilvl w:val="0"/>
          <w:numId w:val="57"/>
        </w:numPr>
        <w:rPr>
          <w:rFonts w:ascii="Arial" w:cs="Arial" w:eastAsia="Arial" w:hAnsi="Arial"/>
          <w:sz w:val="22"/>
          <w:szCs w:val="22"/>
          <w:color w:val="auto"/>
        </w:rPr>
      </w:pPr>
      <w:r>
        <w:rPr>
          <w:rFonts w:ascii="Arial" w:cs="Arial" w:eastAsia="Arial" w:hAnsi="Arial"/>
          <w:sz w:val="22"/>
          <w:szCs w:val="22"/>
          <w:b w:val="1"/>
          <w:bCs w:val="1"/>
          <w:u w:val="single" w:color="auto"/>
          <w:color w:val="auto"/>
        </w:rPr>
        <w:t>Surrender of Records and Property</w:t>
      </w:r>
      <w:r>
        <w:rPr>
          <w:rFonts w:ascii="Arial" w:cs="Arial" w:eastAsia="Arial" w:hAnsi="Arial"/>
          <w:sz w:val="22"/>
          <w:szCs w:val="22"/>
          <w:color w:val="auto"/>
        </w:rPr>
        <w:t>. Upon termination of his employment for any reason, or at any other time</w:t>
      </w:r>
      <w:r>
        <w:rPr>
          <w:rFonts w:ascii="Arial" w:cs="Arial" w:eastAsia="Arial" w:hAnsi="Arial"/>
          <w:sz w:val="22"/>
          <w:szCs w:val="22"/>
          <w:b w:val="1"/>
          <w:bCs w:val="1"/>
          <w:color w:val="auto"/>
        </w:rPr>
        <w:t xml:space="preserve"> </w:t>
      </w:r>
      <w:r>
        <w:rPr>
          <w:rFonts w:ascii="Arial" w:cs="Arial" w:eastAsia="Arial" w:hAnsi="Arial"/>
          <w:sz w:val="22"/>
          <w:szCs w:val="22"/>
          <w:color w:val="auto"/>
        </w:rPr>
        <w:t>on written request, Executive shall deliver promptly to the Company all records, manuals, books, blank forms, documents, letters, licenses, briefings, memoranda, notes, notebooks, reports, data, tables, and calculations or copies thereof, and all models, prototypes, and drawings, which are the property of the Company and which relate in any way to the business, customers, products, practices or techniques of the Company,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490"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b w:val="1"/>
          <w:bCs w:val="1"/>
          <w:color w:val="auto"/>
        </w:rPr>
        <w:t>Exhibit 10.19</w:t>
      </w:r>
    </w:p>
    <w:p>
      <w:pPr>
        <w:spacing w:after="0" w:line="200" w:lineRule="exact"/>
        <w:rPr>
          <w:sz w:val="20"/>
          <w:szCs w:val="20"/>
          <w:color w:val="auto"/>
        </w:rPr>
      </w:pPr>
    </w:p>
    <w:p>
      <w:pPr>
        <w:spacing w:after="0" w:line="228"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other property of the Company and Proprietary Matter, including, but not limited to, all documents which in whole or in part, contain any trade secrets or confidential information of the Company, which in any of these cases are in his possession or under his control. If Executive purchases any record book, ledger, or similar item to be used for keeping records of or information regarding the business of the Company or its customers, such record book, ledger, or similar item shall belong to the Company and Executive shall immediately notify the Company and provide documentation of such purchase, which shall then reimburse Executive for the expense of such purchase in accordance with 4.5 hereof.</w:t>
      </w:r>
    </w:p>
    <w:p>
      <w:pPr>
        <w:spacing w:after="0" w:line="173" w:lineRule="exact"/>
        <w:rPr>
          <w:sz w:val="20"/>
          <w:szCs w:val="20"/>
          <w:color w:val="auto"/>
        </w:rPr>
      </w:pPr>
    </w:p>
    <w:p>
      <w:pPr>
        <w:jc w:val="both"/>
        <w:ind w:firstLine="656"/>
        <w:spacing w:after="0" w:line="298" w:lineRule="auto"/>
        <w:tabs>
          <w:tab w:leader="none" w:pos="1296" w:val="left"/>
        </w:tabs>
        <w:numPr>
          <w:ilvl w:val="0"/>
          <w:numId w:val="58"/>
        </w:numPr>
        <w:rPr>
          <w:rFonts w:ascii="Arial" w:cs="Arial" w:eastAsia="Arial" w:hAnsi="Arial"/>
          <w:sz w:val="19"/>
          <w:szCs w:val="19"/>
          <w:color w:val="auto"/>
        </w:rPr>
      </w:pPr>
      <w:r>
        <w:rPr>
          <w:rFonts w:ascii="Arial" w:cs="Arial" w:eastAsia="Arial" w:hAnsi="Arial"/>
          <w:sz w:val="19"/>
          <w:szCs w:val="19"/>
          <w:b w:val="1"/>
          <w:bCs w:val="1"/>
          <w:u w:val="single" w:color="auto"/>
          <w:color w:val="auto"/>
        </w:rPr>
        <w:t>Assignment</w:t>
      </w:r>
      <w:r>
        <w:rPr>
          <w:rFonts w:ascii="Arial" w:cs="Arial" w:eastAsia="Arial" w:hAnsi="Arial"/>
          <w:sz w:val="19"/>
          <w:szCs w:val="19"/>
          <w:color w:val="auto"/>
        </w:rPr>
        <w:t>. This Agreement shall not be assignable, in whole or in part, by Executive. The Company may, upon</w:t>
      </w:r>
      <w:r>
        <w:rPr>
          <w:rFonts w:ascii="Arial" w:cs="Arial" w:eastAsia="Arial" w:hAnsi="Arial"/>
          <w:sz w:val="19"/>
          <w:szCs w:val="19"/>
          <w:b w:val="1"/>
          <w:bCs w:val="1"/>
          <w:color w:val="auto"/>
        </w:rPr>
        <w:t xml:space="preserve"> </w:t>
      </w:r>
      <w:r>
        <w:rPr>
          <w:rFonts w:ascii="Arial" w:cs="Arial" w:eastAsia="Arial" w:hAnsi="Arial"/>
          <w:sz w:val="19"/>
          <w:szCs w:val="19"/>
          <w:color w:val="auto"/>
        </w:rPr>
        <w:t>notice to Executive, assign its rights and obligations under this Agreement to an Affiliate of the Company or any purchaser of substantially all of the Company’s assets or the assets of the Business or the equity of any owner of the Business. Upon such assignment by the Company, this Agreement shall be enforceable by the Executive and the assignee respectively. After any such assignment by the Company, the Company shall be discharged from all further liability hereunder to Executive.</w:t>
      </w:r>
    </w:p>
    <w:p>
      <w:pPr>
        <w:spacing w:after="0" w:line="142" w:lineRule="exact"/>
        <w:rPr>
          <w:rFonts w:ascii="Arial" w:cs="Arial" w:eastAsia="Arial" w:hAnsi="Arial"/>
          <w:sz w:val="19"/>
          <w:szCs w:val="19"/>
          <w:color w:val="auto"/>
        </w:rPr>
      </w:pPr>
    </w:p>
    <w:p>
      <w:pPr>
        <w:jc w:val="both"/>
        <w:ind w:firstLine="656"/>
        <w:spacing w:after="0" w:line="264" w:lineRule="auto"/>
        <w:tabs>
          <w:tab w:leader="none" w:pos="1296" w:val="left"/>
        </w:tabs>
        <w:numPr>
          <w:ilvl w:val="0"/>
          <w:numId w:val="58"/>
        </w:numPr>
        <w:rPr>
          <w:rFonts w:ascii="Arial" w:cs="Arial" w:eastAsia="Arial" w:hAnsi="Arial"/>
          <w:sz w:val="21"/>
          <w:szCs w:val="21"/>
          <w:color w:val="auto"/>
        </w:rPr>
      </w:pPr>
      <w:r>
        <w:rPr>
          <w:rFonts w:ascii="Arial" w:cs="Arial" w:eastAsia="Arial" w:hAnsi="Arial"/>
          <w:sz w:val="21"/>
          <w:szCs w:val="21"/>
          <w:b w:val="1"/>
          <w:bCs w:val="1"/>
          <w:u w:val="single" w:color="auto"/>
          <w:color w:val="auto"/>
        </w:rPr>
        <w:t>Injunctive Relief</w:t>
      </w:r>
      <w:r>
        <w:rPr>
          <w:rFonts w:ascii="Arial" w:cs="Arial" w:eastAsia="Arial" w:hAnsi="Arial"/>
          <w:sz w:val="21"/>
          <w:szCs w:val="21"/>
          <w:color w:val="auto"/>
        </w:rPr>
        <w:t>. Executive agrees that it would be difficult to compensate the Company fully for damages for</w:t>
      </w:r>
      <w:r>
        <w:rPr>
          <w:rFonts w:ascii="Arial" w:cs="Arial" w:eastAsia="Arial" w:hAnsi="Arial"/>
          <w:sz w:val="21"/>
          <w:szCs w:val="21"/>
          <w:b w:val="1"/>
          <w:bCs w:val="1"/>
          <w:color w:val="auto"/>
        </w:rPr>
        <w:t xml:space="preserve"> </w:t>
      </w:r>
      <w:r>
        <w:rPr>
          <w:rFonts w:ascii="Arial" w:cs="Arial" w:eastAsia="Arial" w:hAnsi="Arial"/>
          <w:sz w:val="21"/>
          <w:szCs w:val="21"/>
          <w:color w:val="auto"/>
        </w:rPr>
        <w:t>any violation of the provisions of this Agreement, including, without limitation, the provisions of Sections 7, 8, 9, 10 and 12. Accordingly, Executive specifically agrees that the Company shall be entitled to temporary and permanent injunctive relief to enforce the provisions of this Agreement. This provision with respect to injunctive relief shall not, however, diminish the right of the Company to claim and recover damages in addition to injunctive relief.</w:t>
      </w:r>
    </w:p>
    <w:p>
      <w:pPr>
        <w:spacing w:after="0" w:line="170" w:lineRule="exact"/>
        <w:rPr>
          <w:rFonts w:ascii="Arial" w:cs="Arial" w:eastAsia="Arial" w:hAnsi="Arial"/>
          <w:sz w:val="21"/>
          <w:szCs w:val="21"/>
          <w:color w:val="auto"/>
        </w:rPr>
      </w:pPr>
    </w:p>
    <w:p>
      <w:pPr>
        <w:ind w:left="1300" w:hanging="644"/>
        <w:spacing w:after="0"/>
        <w:tabs>
          <w:tab w:leader="none" w:pos="1300" w:val="left"/>
        </w:tabs>
        <w:numPr>
          <w:ilvl w:val="0"/>
          <w:numId w:val="58"/>
        </w:numPr>
        <w:rPr>
          <w:rFonts w:ascii="Arial" w:cs="Arial" w:eastAsia="Arial" w:hAnsi="Arial"/>
          <w:sz w:val="22"/>
          <w:szCs w:val="22"/>
          <w:color w:val="auto"/>
        </w:rPr>
      </w:pPr>
      <w:r>
        <w:rPr>
          <w:rFonts w:ascii="Arial" w:cs="Arial" w:eastAsia="Arial" w:hAnsi="Arial"/>
          <w:sz w:val="22"/>
          <w:szCs w:val="22"/>
          <w:b w:val="1"/>
          <w:bCs w:val="1"/>
          <w:u w:val="single" w:color="auto"/>
          <w:color w:val="auto"/>
        </w:rPr>
        <w:t>Arbitration</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u w:val="single" w:color="auto"/>
          <w:color w:val="auto"/>
        </w:rPr>
        <w:t>15.1</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Claims Covered</w:t>
      </w:r>
      <w:r>
        <w:rPr>
          <w:rFonts w:ascii="Arial" w:cs="Arial" w:eastAsia="Arial" w:hAnsi="Arial"/>
          <w:sz w:val="22"/>
          <w:szCs w:val="22"/>
          <w:color w:val="auto"/>
        </w:rPr>
        <w:t>. The parties shall resolve by arbitration all statutory, contractual and/or common law claims or controversies (“</w:t>
      </w:r>
      <w:r>
        <w:rPr>
          <w:rFonts w:ascii="Arial" w:cs="Arial" w:eastAsia="Arial" w:hAnsi="Arial"/>
          <w:sz w:val="22"/>
          <w:szCs w:val="22"/>
          <w:b w:val="1"/>
          <w:bCs w:val="1"/>
          <w:color w:val="auto"/>
        </w:rPr>
        <w:t>Claims</w:t>
      </w:r>
      <w:r>
        <w:rPr>
          <w:rFonts w:ascii="Arial" w:cs="Arial" w:eastAsia="Arial" w:hAnsi="Arial"/>
          <w:sz w:val="22"/>
          <w:szCs w:val="22"/>
          <w:color w:val="auto"/>
        </w:rPr>
        <w:t>”) that the Company may have against Executive, or that Executive may have against the Company or any of its officers, directors, employees or agents in their capacity as such or otherwise. Claims subject to arbitration include claims for breach of any contract (express or implied).</w:t>
      </w:r>
    </w:p>
    <w:p>
      <w:pPr>
        <w:spacing w:after="0" w:line="180"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u w:val="single" w:color="auto"/>
          <w:color w:val="auto"/>
        </w:rPr>
        <w:t>15.2</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Claims Not Covered</w:t>
      </w:r>
      <w:r>
        <w:rPr>
          <w:rFonts w:ascii="Arial" w:cs="Arial" w:eastAsia="Arial" w:hAnsi="Arial"/>
          <w:sz w:val="21"/>
          <w:szCs w:val="21"/>
          <w:color w:val="auto"/>
        </w:rPr>
        <w:t>. The arbitration of Claims shall not apply to (i) claims by Executive for workers’ compensation or unemployment insurance; (ii) claims which even in the absence of these arbitration provisions could not have been litigated in court or before any administrative proceeding under applicable federal, state or local law; (iii) claims by the Company for injunctive and/or other equitable relief; (iv) claims for which arbitration is prohibited under applicable rules in the Federal Acquisition Regulation or the Defense Federal Acquisition Regulation Supplement; and (v) claims for employee benefits under any employee benefit plan subject to ERISA.</w:t>
      </w:r>
    </w:p>
    <w:p>
      <w:pPr>
        <w:spacing w:after="0" w:line="173"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u w:val="single" w:color="auto"/>
          <w:color w:val="auto"/>
        </w:rPr>
        <w:t>15.3</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Procedures</w:t>
      </w:r>
      <w:r>
        <w:rPr>
          <w:rFonts w:ascii="Arial" w:cs="Arial" w:eastAsia="Arial" w:hAnsi="Arial"/>
          <w:sz w:val="22"/>
          <w:szCs w:val="22"/>
          <w:color w:val="auto"/>
        </w:rPr>
        <w:t>. Claims shall be settled by arbitration by a single, neutral arbitrator in accordance with the employment arbitration rules then in effect of Judicial Arbitration and Mediation Services (JAMS) which can be found at www.jamsadr.com/rules-employment-arbitration. The arbitrator shall determine all questions of fact and law relating to any Claim, including but not limited to, whether or not any such Claim is subject to the arbitration provisions contained herein. The parties shall be permitted to engage in such pre-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490"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2"/>
          <w:szCs w:val="22"/>
          <w:b w:val="1"/>
          <w:bCs w:val="1"/>
          <w:color w:val="auto"/>
        </w:rPr>
        <w:t>Exhibit 10.19</w:t>
      </w:r>
    </w:p>
    <w:p>
      <w:pPr>
        <w:spacing w:after="0" w:line="200" w:lineRule="exact"/>
        <w:rPr>
          <w:sz w:val="20"/>
          <w:szCs w:val="20"/>
          <w:color w:val="auto"/>
        </w:rPr>
      </w:pPr>
    </w:p>
    <w:p>
      <w:pPr>
        <w:spacing w:after="0" w:line="228"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hearing discovery as the arbitrator shall permit. The arbitrator shall issue a written arbitration decision which shall include essential findings and conclusions on which any award is based. The decision shall remain confidential between the parties and shall not be published by the arbitrator or JAMS. Judgment upon the award rendered by the arbitrator may be entered in any court having jurisdiction. Each party shall pay the fees of its own attorneys, the expenses of its witnesses and all other expenses connected with presenting its case, except insofar as such fees or expenses are otherwise recoverable pursuant to a statutory claim or cause of action. The Company shall bear the other costs of the arbitration, including the cost of any record or transcript of the arbitration, administrative fees, the fee of the arbitrator, and all other fees and costs.</w:t>
      </w:r>
    </w:p>
    <w:p>
      <w:pPr>
        <w:spacing w:after="0" w:line="145"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u w:val="single" w:color="auto"/>
          <w:color w:val="auto"/>
        </w:rPr>
        <w:t>15.4</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Remedies; Waiver of Jury Trial</w:t>
      </w:r>
      <w:r>
        <w:rPr>
          <w:rFonts w:ascii="Arial" w:cs="Arial" w:eastAsia="Arial" w:hAnsi="Arial"/>
          <w:sz w:val="22"/>
          <w:szCs w:val="22"/>
          <w:color w:val="auto"/>
        </w:rPr>
        <w:t>. Executive understands that Executive is waiving the right to seek certain remedies in court, including the right to a jury trial. The arbitrator shall be empowered to award any relief which might have been available in a court of law or equity.</w:t>
      </w:r>
    </w:p>
    <w:p>
      <w:pPr>
        <w:spacing w:after="0" w:line="176"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u w:val="single" w:color="auto"/>
          <w:color w:val="auto"/>
        </w:rPr>
        <w:t>15.5</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Required Notice and Statute of Limitations</w:t>
      </w:r>
      <w:r>
        <w:rPr>
          <w:rFonts w:ascii="Arial" w:cs="Arial" w:eastAsia="Arial" w:hAnsi="Arial"/>
          <w:sz w:val="22"/>
          <w:szCs w:val="22"/>
          <w:color w:val="auto"/>
        </w:rPr>
        <w:t>. Arbitration shall be initiated by serving or mailing a written notice to the other party within the applicable statutory limitations period. Any notice to be sent to the Company shall be delivered to the CEO with a mandatory copy to the Company’s General Counsel, 10680 Treena Street, 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San Diego, CA 92131, facsimile 858-812-7303. The notice shall identify and describe the nature of all claims asserted and the facts upon which such claims are based.</w:t>
      </w:r>
    </w:p>
    <w:p>
      <w:pPr>
        <w:spacing w:after="0" w:line="192"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u w:val="single" w:color="auto"/>
          <w:color w:val="auto"/>
        </w:rPr>
        <w:t>16.1</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This Agreement is made under and shall be governed by and construed in accordance with the laws of the State of Texas, without regard to its conflicts of law provisions, and all proceedings shall be brought in the courts or arbitral forums located in Alabama or some other location as agreed by the parties.</w:t>
      </w:r>
    </w:p>
    <w:p>
      <w:pPr>
        <w:spacing w:after="0" w:line="158"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9"/>
          <w:szCs w:val="19"/>
          <w:u w:val="single" w:color="auto"/>
          <w:color w:val="auto"/>
        </w:rPr>
        <w:t>16.2</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Prior Agreements</w:t>
      </w:r>
      <w:r>
        <w:rPr>
          <w:rFonts w:ascii="Arial" w:cs="Arial" w:eastAsia="Arial" w:hAnsi="Arial"/>
          <w:sz w:val="19"/>
          <w:szCs w:val="19"/>
          <w:color w:val="auto"/>
        </w:rPr>
        <w:t>. This Agreement, coupled with Executive’s Proprietary Information Agreement and Section 6.2 of the Purchase Agreement, contains the entire agreement of the parties relating to the subject matter hereof and supersedes all prior agreements and understandings with respect to such subject matter. Except as set forth above, the parties have made no agreements, representations or warranties relating to the subject matter of this Agreement which are not set forth herein.</w:t>
      </w:r>
    </w:p>
    <w:p>
      <w:pPr>
        <w:spacing w:after="0" w:line="135"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u w:val="single" w:color="auto"/>
          <w:color w:val="auto"/>
        </w:rPr>
        <w:t>16.3</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Successors</w:t>
      </w:r>
      <w:r>
        <w:rPr>
          <w:rFonts w:ascii="Arial" w:cs="Arial" w:eastAsia="Arial" w:hAnsi="Arial"/>
          <w:sz w:val="19"/>
          <w:szCs w:val="19"/>
          <w:color w:val="auto"/>
        </w:rPr>
        <w:t>. The terms of this Agreement and all rights of Executive hereunder shall inure to the benefit of, and be enforceable by, Executive’s personal or legal representatives, executors, administrators, successors, heirs, distributees, devisees and legatees on the one hand, and by any successor or assignee of the Company on the other hand.</w:t>
      </w:r>
    </w:p>
    <w:p>
      <w:pPr>
        <w:spacing w:after="0" w:line="1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u w:val="single" w:color="auto"/>
          <w:color w:val="auto"/>
        </w:rPr>
        <w:t>16.4</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Amendments</w:t>
      </w:r>
      <w:r>
        <w:rPr>
          <w:rFonts w:ascii="Arial" w:cs="Arial" w:eastAsia="Arial" w:hAnsi="Arial"/>
          <w:sz w:val="22"/>
          <w:szCs w:val="22"/>
          <w:color w:val="auto"/>
        </w:rPr>
        <w:t>. No amendment or modification of this Agreement shall be deemed effective unless made in writing signed by the parties.</w:t>
      </w:r>
    </w:p>
    <w:p>
      <w:pPr>
        <w:spacing w:after="0" w:line="16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u w:val="single" w:color="auto"/>
          <w:color w:val="auto"/>
        </w:rPr>
        <w:t>16.5</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No Waiver</w:t>
      </w:r>
      <w:r>
        <w:rPr>
          <w:rFonts w:ascii="Arial" w:cs="Arial" w:eastAsia="Arial" w:hAnsi="Arial"/>
          <w:sz w:val="22"/>
          <w:szCs w:val="22"/>
          <w:color w:val="auto"/>
        </w:rPr>
        <w:t>. No term or condition of this Agreement shall be deemed to have been waived nor shall there be any estoppel to enforce any provisions of this Agreement, except by a statement in writing signed by the party against whom enforcement of the waiver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490"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2"/>
          <w:szCs w:val="22"/>
          <w:b w:val="1"/>
          <w:bCs w:val="1"/>
          <w:color w:val="auto"/>
        </w:rPr>
        <w:t>Exhibit 10.19</w:t>
      </w:r>
    </w:p>
    <w:p>
      <w:pPr>
        <w:spacing w:after="0" w:line="200" w:lineRule="exact"/>
        <w:rPr>
          <w:sz w:val="20"/>
          <w:szCs w:val="20"/>
          <w:color w:val="auto"/>
        </w:rPr>
      </w:pPr>
    </w:p>
    <w:p>
      <w:pPr>
        <w:spacing w:after="0" w:line="228"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auto"/>
        </w:rPr>
        <w:t>estoppel is sought. Any written waiver shall not be deemed a continuing waiver unless specifically stated, shall operate only as to the specific term or condition waived and shall not constitute a waiver of such term or condition waived and shall not constitute a waiver of such term or condition for the future or as to any act other than that specifically waived.</w:t>
      </w:r>
    </w:p>
    <w:p>
      <w:pPr>
        <w:spacing w:after="0" w:line="161"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9"/>
          <w:szCs w:val="19"/>
          <w:u w:val="single" w:color="auto"/>
          <w:color w:val="auto"/>
        </w:rPr>
        <w:t>16.6</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Severability and Reformation</w:t>
      </w:r>
      <w:r>
        <w:rPr>
          <w:rFonts w:ascii="Arial" w:cs="Arial" w:eastAsia="Arial" w:hAnsi="Arial"/>
          <w:sz w:val="19"/>
          <w:szCs w:val="19"/>
          <w:color w:val="auto"/>
        </w:rPr>
        <w:t>. To the extent any provision of this Agreement shall be considered by a court or arbitrator to be invalid or unenforceable, the provision shall be considered deleted here from and the remainder of such provision and of this Agreement shall be unaffected and shall continue in full force and effect. Each of the parties recognizes that the restrictions contained in this Agreement are properly required for the adequate protection of the Company’s business and that in the event any covenant or other provision contained herein shall be deemed to be illegal, unenforceable or unreasonable by a court or other tribunal of competent jurisdiction, each of the parties agrees and submits to the reduction of said restrictions to such duration and/or scope as said court or tribunal shall deem reasonable.</w:t>
      </w:r>
    </w:p>
    <w:p>
      <w:pPr>
        <w:spacing w:after="0" w:line="14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u w:val="single" w:color="auto"/>
          <w:color w:val="auto"/>
        </w:rPr>
        <w:t>16.7</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any number of counterparts, each of which shall be deemed to be an original and all which together shall be deemed to be one and the same instrument.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16.8</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All notices required or permitted hereunder shall be in writing and shall be deemed effectively given</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or received: (a) upon personal delivery to the party to be notified, (b) when sent by confirmed facsimile if sent during normal</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business hours of the recipient upon confirmed receipt, if not, then on the next business day, (c) five (5) business days after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having been sent by registered or certified mail, return receipt requested, postage prepaid, or (d) one (1) business day after</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deposit with a nationally recognized overnight courier, specifying next day delivery, with written verification of receipt. All</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communications shall be sent to the Company and Executive at their respective addresses as set forth on the signature page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hereof or at such other address as the Company or Executive may designate by ten (10) days advance written notice to the other</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party.</w:t>
      </w:r>
    </w:p>
    <w:p>
      <w:pPr>
        <w:spacing w:after="0" w:line="196"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21"/>
          <w:szCs w:val="21"/>
          <w:color w:val="auto"/>
        </w:rPr>
      </w:pPr>
      <w:r>
        <w:rPr>
          <w:rFonts w:ascii="Arial" w:cs="Arial" w:eastAsia="Arial" w:hAnsi="Arial"/>
          <w:sz w:val="21"/>
          <w:szCs w:val="21"/>
          <w:b w:val="1"/>
          <w:bCs w:val="1"/>
          <w:u w:val="single" w:color="auto"/>
          <w:color w:val="auto"/>
        </w:rPr>
        <w:t>Definition of Terms</w:t>
      </w:r>
      <w:r>
        <w:rPr>
          <w:rFonts w:ascii="Arial" w:cs="Arial" w:eastAsia="Arial" w:hAnsi="Arial"/>
          <w:sz w:val="21"/>
          <w:szCs w:val="21"/>
          <w:color w:val="auto"/>
        </w:rPr>
        <w:t>. The following terms referred to in this Agreement shall have the following meanings:</w:t>
      </w:r>
    </w:p>
    <w:p>
      <w:pPr>
        <w:spacing w:after="0" w:line="231" w:lineRule="exact"/>
        <w:rPr>
          <w:sz w:val="20"/>
          <w:szCs w:val="20"/>
          <w:color w:val="auto"/>
        </w:rPr>
      </w:pPr>
    </w:p>
    <w:p>
      <w:pPr>
        <w:jc w:val="both"/>
        <w:ind w:firstLine="1296"/>
        <w:spacing w:after="0" w:line="349" w:lineRule="auto"/>
        <w:rPr>
          <w:sz w:val="20"/>
          <w:szCs w:val="20"/>
          <w:color w:val="auto"/>
        </w:rPr>
      </w:pPr>
      <w:r>
        <w:rPr>
          <w:rFonts w:ascii="Arial" w:cs="Arial" w:eastAsia="Arial" w:hAnsi="Arial"/>
          <w:sz w:val="19"/>
          <w:szCs w:val="19"/>
          <w:u w:val="single" w:color="auto"/>
          <w:color w:val="auto"/>
        </w:rPr>
        <w:t>17.1</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Affiliate</w:t>
      </w:r>
      <w:r>
        <w:rPr>
          <w:rFonts w:ascii="Arial" w:cs="Arial" w:eastAsia="Arial" w:hAnsi="Arial"/>
          <w:sz w:val="19"/>
          <w:szCs w:val="19"/>
          <w:color w:val="auto"/>
        </w:rPr>
        <w:t xml:space="preserve">. </w:t>
      </w:r>
      <w:r>
        <w:rPr>
          <w:rFonts w:ascii="Arial" w:cs="Arial" w:eastAsia="Arial" w:hAnsi="Arial"/>
          <w:sz w:val="19"/>
          <w:szCs w:val="19"/>
          <w:b w:val="1"/>
          <w:bCs w:val="1"/>
          <w:color w:val="auto"/>
        </w:rPr>
        <w:t>“Affiliate”</w:t>
      </w:r>
      <w:r>
        <w:rPr>
          <w:rFonts w:ascii="Arial" w:cs="Arial" w:eastAsia="Arial" w:hAnsi="Arial"/>
          <w:sz w:val="19"/>
          <w:szCs w:val="19"/>
          <w:color w:val="auto"/>
        </w:rPr>
        <w:t xml:space="preserve"> with respect to any person or entity, means a person or entity that directly or indirectly through one or more intermediaries controls, is controlled by, or is under common control with, such person or entity.</w:t>
      </w:r>
    </w:p>
    <w:p>
      <w:pPr>
        <w:spacing w:after="0" w:line="94"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19"/>
          <w:szCs w:val="19"/>
          <w:u w:val="single" w:color="auto"/>
          <w:color w:val="auto"/>
        </w:rPr>
        <w:t>17.2</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Cause</w:t>
      </w:r>
      <w:r>
        <w:rPr>
          <w:rFonts w:ascii="Arial" w:cs="Arial" w:eastAsia="Arial" w:hAnsi="Arial"/>
          <w:sz w:val="19"/>
          <w:szCs w:val="19"/>
          <w:color w:val="auto"/>
        </w:rPr>
        <w:t xml:space="preserve">. Termination for </w:t>
      </w:r>
      <w:r>
        <w:rPr>
          <w:rFonts w:ascii="Arial" w:cs="Arial" w:eastAsia="Arial" w:hAnsi="Arial"/>
          <w:sz w:val="19"/>
          <w:szCs w:val="19"/>
          <w:b w:val="1"/>
          <w:bCs w:val="1"/>
          <w:color w:val="auto"/>
        </w:rPr>
        <w:t>“Cause”</w:t>
      </w:r>
      <w:r>
        <w:rPr>
          <w:rFonts w:ascii="Arial" w:cs="Arial" w:eastAsia="Arial" w:hAnsi="Arial"/>
          <w:sz w:val="19"/>
          <w:szCs w:val="19"/>
          <w:color w:val="auto"/>
        </w:rPr>
        <w:t xml:space="preserve"> means termination due to any of the following reasons: (i) Executive’s Misconduct; (ii) Executive’s violation of posted policy or rules of the Company; (iii) Executive’s willful refusal to follow the lawful directions given by the Company’s CEO or Executive’s direct supervisor from time to time or breach of any material covenant or obligation under this Agreement or other agreement with the Company; (iv) Executive’s breach of the duty of loyalty to the Company that causes or is reasonably likely to cause injury to the Company; or (v) failure to timely secure or loss of any security clearance the Company deems necessary or desirable for the Executive to perform the duties of the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490" w:right="339" w:bottom="1440" w:gutter="0" w:footer="0" w:header="0"/>
        </w:sectPr>
      </w:pPr>
    </w:p>
    <w:bookmarkStart w:id="118" w:name="page119"/>
    <w:bookmarkEnd w:id="118"/>
    <w:p>
      <w:pPr>
        <w:ind w:left="10020"/>
        <w:spacing w:after="0"/>
        <w:rPr>
          <w:sz w:val="20"/>
          <w:szCs w:val="20"/>
          <w:color w:val="auto"/>
        </w:rPr>
      </w:pPr>
      <w:r>
        <w:rPr>
          <w:rFonts w:ascii="Arial" w:cs="Arial" w:eastAsia="Arial" w:hAnsi="Arial"/>
          <w:sz w:val="19"/>
          <w:szCs w:val="19"/>
          <w:b w:val="1"/>
          <w:bCs w:val="1"/>
          <w:color w:val="auto"/>
        </w:rPr>
        <w:t>Exhibit 10.19</w:t>
      </w:r>
    </w:p>
    <w:p>
      <w:pPr>
        <w:spacing w:after="0" w:line="200" w:lineRule="exact"/>
        <w:rPr>
          <w:sz w:val="20"/>
          <w:szCs w:val="20"/>
          <w:color w:val="auto"/>
        </w:rPr>
      </w:pPr>
    </w:p>
    <w:p>
      <w:pPr>
        <w:spacing w:after="0" w:line="257" w:lineRule="exact"/>
        <w:rPr>
          <w:sz w:val="20"/>
          <w:szCs w:val="20"/>
          <w:color w:val="auto"/>
        </w:rPr>
      </w:pPr>
    </w:p>
    <w:p>
      <w:pPr>
        <w:jc w:val="both"/>
        <w:ind w:right="20" w:firstLine="1296"/>
        <w:spacing w:after="0" w:line="294" w:lineRule="auto"/>
        <w:rPr>
          <w:sz w:val="20"/>
          <w:szCs w:val="20"/>
          <w:color w:val="auto"/>
        </w:rPr>
      </w:pPr>
      <w:r>
        <w:rPr>
          <w:rFonts w:ascii="Arial" w:cs="Arial" w:eastAsia="Arial" w:hAnsi="Arial"/>
          <w:sz w:val="19"/>
          <w:szCs w:val="19"/>
          <w:u w:val="single" w:color="auto"/>
          <w:color w:val="auto"/>
        </w:rPr>
        <w:t>17.3</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Good Reason</w:t>
      </w:r>
      <w:r>
        <w:rPr>
          <w:rFonts w:ascii="Arial" w:cs="Arial" w:eastAsia="Arial" w:hAnsi="Arial"/>
          <w:sz w:val="19"/>
          <w:szCs w:val="19"/>
          <w:color w:val="auto"/>
        </w:rPr>
        <w:t>. “</w:t>
      </w:r>
      <w:r>
        <w:rPr>
          <w:rFonts w:ascii="Arial" w:cs="Arial" w:eastAsia="Arial" w:hAnsi="Arial"/>
          <w:sz w:val="19"/>
          <w:szCs w:val="19"/>
          <w:b w:val="1"/>
          <w:bCs w:val="1"/>
          <w:color w:val="auto"/>
        </w:rPr>
        <w:t>Good Reason</w:t>
      </w:r>
      <w:r>
        <w:rPr>
          <w:rFonts w:ascii="Arial" w:cs="Arial" w:eastAsia="Arial" w:hAnsi="Arial"/>
          <w:sz w:val="19"/>
          <w:szCs w:val="19"/>
          <w:color w:val="auto"/>
        </w:rPr>
        <w:t>” means that, without Executive’s express written consent, one or more of the following events occurred after Executive’s execution of this Agreement and coincident with or following a Change of Control:</w:t>
      </w:r>
    </w:p>
    <w:p>
      <w:pPr>
        <w:spacing w:after="0" w:line="2" w:lineRule="exact"/>
        <w:rPr>
          <w:sz w:val="20"/>
          <w:szCs w:val="20"/>
          <w:color w:val="auto"/>
        </w:rPr>
      </w:pPr>
    </w:p>
    <w:p>
      <w:pPr>
        <w:jc w:val="both"/>
        <w:ind w:firstLine="8"/>
        <w:spacing w:after="0" w:line="256" w:lineRule="auto"/>
        <w:tabs>
          <w:tab w:leader="none" w:pos="267" w:val="left"/>
        </w:tabs>
        <w:numPr>
          <w:ilvl w:val="0"/>
          <w:numId w:val="61"/>
        </w:numPr>
        <w:rPr>
          <w:rFonts w:ascii="Arial" w:cs="Arial" w:eastAsia="Arial" w:hAnsi="Arial"/>
          <w:sz w:val="21"/>
          <w:szCs w:val="21"/>
          <w:color w:val="auto"/>
        </w:rPr>
      </w:pPr>
      <w:r>
        <w:rPr>
          <w:rFonts w:ascii="Arial" w:cs="Arial" w:eastAsia="Arial" w:hAnsi="Arial"/>
          <w:sz w:val="21"/>
          <w:szCs w:val="21"/>
          <w:color w:val="auto"/>
        </w:rPr>
        <w:t xml:space="preserve">a material change in the nature of Executive’s role or job responsibilities which, when considered in their totality as a whole, are substantially diminished in nature (ignoring any such changes that necessarily result from the Company not being publicly-traded if the Company ceases to be publicly-traded in connection with the Change of Control); (ii) the relocation of Executive’s principal place of work to a location more than thirty (30) miles from Executive’s current place of work and such relocation results in Executive’s one-way commute to work increasing by more than 30 miles based on Executive’s principal place of residence immediately before such relocation was announced; or (iii) the Company materially breaches this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however, </w:t>
      </w:r>
      <w:r>
        <w:rPr>
          <w:rFonts w:ascii="Arial" w:cs="Arial" w:eastAsia="Arial" w:hAnsi="Arial"/>
          <w:sz w:val="21"/>
          <w:szCs w:val="21"/>
          <w:color w:val="auto"/>
        </w:rPr>
        <w:t>that none of these conditions will constitute Good Reason unless (a) Executive provides written notice to the Company</w:t>
      </w:r>
      <w:r>
        <w:rPr>
          <w:rFonts w:ascii="Arial" w:cs="Arial" w:eastAsia="Arial" w:hAnsi="Arial"/>
          <w:sz w:val="21"/>
          <w:szCs w:val="21"/>
          <w:i w:val="1"/>
          <w:iCs w:val="1"/>
          <w:color w:val="auto"/>
        </w:rPr>
        <w:t xml:space="preserve"> </w:t>
      </w:r>
      <w:r>
        <w:rPr>
          <w:rFonts w:ascii="Arial" w:cs="Arial" w:eastAsia="Arial" w:hAnsi="Arial"/>
          <w:sz w:val="21"/>
          <w:szCs w:val="21"/>
          <w:color w:val="auto"/>
        </w:rPr>
        <w:t>within ninety (90) days of its initial existence, (b) the Company does not cure such condition within thirty (30) days from the date it receives such notice from Executive, and (c) Executive actually terminates employment within 10 days following the end of the cure period described in clause (b).</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17.4</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Misconduct</w:t>
      </w:r>
      <w:r>
        <w:rPr>
          <w:rFonts w:ascii="Arial" w:cs="Arial" w:eastAsia="Arial" w:hAnsi="Arial"/>
          <w:sz w:val="22"/>
          <w:szCs w:val="22"/>
          <w:color w:val="auto"/>
        </w:rPr>
        <w:t xml:space="preserve">. </w:t>
      </w:r>
      <w:r>
        <w:rPr>
          <w:rFonts w:ascii="Arial" w:cs="Arial" w:eastAsia="Arial" w:hAnsi="Arial"/>
          <w:sz w:val="22"/>
          <w:szCs w:val="22"/>
          <w:b w:val="1"/>
          <w:bCs w:val="1"/>
          <w:color w:val="auto"/>
        </w:rPr>
        <w:t>“Misconduct”</w:t>
      </w:r>
      <w:r>
        <w:rPr>
          <w:rFonts w:ascii="Arial" w:cs="Arial" w:eastAsia="Arial" w:hAnsi="Arial"/>
          <w:sz w:val="22"/>
          <w:szCs w:val="22"/>
          <w:color w:val="auto"/>
        </w:rPr>
        <w:t xml:space="preserve"> means:</w:t>
      </w:r>
    </w:p>
    <w:p>
      <w:pPr>
        <w:spacing w:after="0" w:line="226"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17.4.1 Commission, indictment or conviction of a felony or for an act of fraud, embezzlement or other act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of gross misconduct.</w:t>
      </w:r>
    </w:p>
    <w:p>
      <w:pPr>
        <w:spacing w:after="0" w:line="94"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22"/>
          <w:szCs w:val="22"/>
          <w:color w:val="auto"/>
        </w:rPr>
        <w:t>17.4.2 Misuse, misappropriation or disclosure of any Proprietary Matter, directly or indirectly, or use of it in any way, except as required or permitted in the course of Executive’s employment.</w:t>
      </w:r>
    </w:p>
    <w:p>
      <w:pPr>
        <w:spacing w:after="0" w:line="67"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22"/>
          <w:szCs w:val="22"/>
          <w:color w:val="auto"/>
        </w:rPr>
        <w:t>17.4.3 Knowing misappropriation, concealment, or conversion of any money or property of the Company that causes or could cause injury to the Company.</w:t>
      </w:r>
    </w:p>
    <w:p>
      <w:pPr>
        <w:spacing w:after="0" w:line="67"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22"/>
          <w:szCs w:val="22"/>
          <w:color w:val="auto"/>
        </w:rPr>
        <w:t>17.4.4 Reckless conduct which endangers or is reasonably likely to endanger the safety of persons or property during the course of employment or while on Company premises.</w:t>
      </w:r>
    </w:p>
    <w:p>
      <w:pPr>
        <w:spacing w:after="0" w:line="6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17.4.5 material violation of the Company’s Code of Legal and Ethical Conduct.</w:t>
      </w:r>
    </w:p>
    <w:p>
      <w:pPr>
        <w:spacing w:after="0" w:line="106"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u w:val="single" w:color="auto"/>
          <w:color w:val="auto"/>
        </w:rPr>
        <w:t>17.5</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Related Parties</w:t>
      </w:r>
      <w:r>
        <w:rPr>
          <w:rFonts w:ascii="Arial" w:cs="Arial" w:eastAsia="Arial" w:hAnsi="Arial"/>
          <w:sz w:val="19"/>
          <w:szCs w:val="19"/>
          <w:b w:val="1"/>
          <w:bCs w:val="1"/>
          <w:color w:val="auto"/>
        </w:rPr>
        <w:t>. “Related Parties”</w:t>
      </w:r>
      <w:r>
        <w:rPr>
          <w:rFonts w:ascii="Arial" w:cs="Arial" w:eastAsia="Arial" w:hAnsi="Arial"/>
          <w:sz w:val="19"/>
          <w:szCs w:val="19"/>
          <w:color w:val="auto"/>
        </w:rPr>
        <w:t xml:space="preserve"> means each of the Company’s and its Affiliates’ present and former directors, officers, employees, trustees, agents, attorneys, insurers, shareholders, representatives, predecessors, successors and assigns, and if any, its parent corporations, subsidiaries, divisions, related and affiliated companies and entities.</w:t>
      </w:r>
    </w:p>
    <w:p>
      <w:pPr>
        <w:spacing w:after="0" w:line="125"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u w:val="single" w:color="auto"/>
          <w:color w:val="auto"/>
        </w:rPr>
        <w:t>17.6</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Restricted Period</w:t>
      </w:r>
      <w:r>
        <w:rPr>
          <w:rFonts w:ascii="Arial" w:cs="Arial" w:eastAsia="Arial" w:hAnsi="Arial"/>
          <w:sz w:val="22"/>
          <w:szCs w:val="22"/>
          <w:b w:val="1"/>
          <w:bCs w:val="1"/>
          <w:color w:val="auto"/>
        </w:rPr>
        <w:t>.</w:t>
      </w:r>
      <w:r>
        <w:rPr>
          <w:rFonts w:ascii="Arial" w:cs="Arial" w:eastAsia="Arial" w:hAnsi="Arial"/>
          <w:sz w:val="22"/>
          <w:szCs w:val="22"/>
          <w:color w:val="auto"/>
        </w:rPr>
        <w:t xml:space="preserve"> The </w:t>
      </w:r>
      <w:r>
        <w:rPr>
          <w:rFonts w:ascii="Arial" w:cs="Arial" w:eastAsia="Arial" w:hAnsi="Arial"/>
          <w:sz w:val="22"/>
          <w:szCs w:val="22"/>
          <w:b w:val="1"/>
          <w:bCs w:val="1"/>
          <w:color w:val="auto"/>
        </w:rPr>
        <w:t>“Restricted Period”</w:t>
      </w:r>
      <w:r>
        <w:rPr>
          <w:rFonts w:ascii="Arial" w:cs="Arial" w:eastAsia="Arial" w:hAnsi="Arial"/>
          <w:sz w:val="22"/>
          <w:szCs w:val="22"/>
          <w:color w:val="auto"/>
        </w:rPr>
        <w:t xml:space="preserve"> shall commence on the Effective Date and shall continue until the five-year anniversary of Executive’s termination of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490"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b w:val="1"/>
          <w:bCs w:val="1"/>
          <w:color w:val="auto"/>
        </w:rPr>
        <w:t>Exhibit 10.19</w:t>
      </w:r>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have executed this Employment Agreement as of the Effective Date.</w:t>
      </w:r>
    </w:p>
    <w:p>
      <w:pPr>
        <w:spacing w:after="0" w:line="260" w:lineRule="exact"/>
        <w:rPr>
          <w:sz w:val="20"/>
          <w:szCs w:val="20"/>
          <w:color w:val="auto"/>
        </w:rPr>
      </w:pPr>
    </w:p>
    <w:p>
      <w:pPr>
        <w:spacing w:after="0"/>
        <w:tabs>
          <w:tab w:leader="none" w:pos="1880" w:val="left"/>
        </w:tabs>
        <w:rPr>
          <w:sz w:val="20"/>
          <w:szCs w:val="20"/>
          <w:color w:val="auto"/>
        </w:rPr>
      </w:pPr>
      <w:r>
        <w:rPr>
          <w:rFonts w:ascii="Arial" w:cs="Arial" w:eastAsia="Arial" w:hAnsi="Arial"/>
          <w:sz w:val="22"/>
          <w:szCs w:val="22"/>
          <w:b w:val="1"/>
          <w:bCs w:val="1"/>
          <w:color w:val="auto"/>
        </w:rPr>
        <w:t>THE COMPANY:</w:t>
        <w:tab/>
        <w:t>EXECUTIVE: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Kratos Defense &amp; Security Solutions, Inc.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Eric DeMarco</w:t>
            </w:r>
          </w:p>
        </w:tc>
        <w:tc>
          <w:tcPr>
            <w:tcW w:w="2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6"/>
              </w:rPr>
              <w:t>/s/ Steven Fendley</w:t>
            </w:r>
          </w:p>
        </w:tc>
        <w:tc>
          <w:tcPr>
            <w:tcW w:w="4460" w:type="dxa"/>
            <w:vAlign w:val="bottom"/>
          </w:tcPr>
          <w:p>
            <w:pPr>
              <w:spacing w:after="0"/>
              <w:rPr>
                <w:sz w:val="21"/>
                <w:szCs w:val="21"/>
                <w:color w:val="auto"/>
              </w:rPr>
            </w:pPr>
          </w:p>
        </w:tc>
      </w:tr>
      <w:tr>
        <w:trPr>
          <w:trHeight w:val="269"/>
        </w:trPr>
        <w:tc>
          <w:tcPr>
            <w:tcW w:w="8260" w:type="dxa"/>
            <w:vAlign w:val="bottom"/>
            <w:gridSpan w:val="5"/>
          </w:tcPr>
          <w:p>
            <w:pPr>
              <w:spacing w:after="0"/>
              <w:rPr>
                <w:sz w:val="20"/>
                <w:szCs w:val="20"/>
                <w:color w:val="auto"/>
              </w:rPr>
            </w:pPr>
            <w:r>
              <w:rPr>
                <w:rFonts w:ascii="Arial" w:cs="Arial" w:eastAsia="Arial" w:hAnsi="Arial"/>
                <w:sz w:val="22"/>
                <w:szCs w:val="22"/>
                <w:color w:val="auto"/>
              </w:rPr>
              <w:t>Eric DeMarco  Steven Fendley</w:t>
            </w:r>
          </w:p>
        </w:tc>
      </w:tr>
      <w:tr>
        <w:trPr>
          <w:trHeight w:val="274"/>
        </w:trPr>
        <w:tc>
          <w:tcPr>
            <w:tcW w:w="1780" w:type="dxa"/>
            <w:vAlign w:val="bottom"/>
          </w:tcPr>
          <w:p>
            <w:pPr>
              <w:spacing w:after="0"/>
              <w:rPr>
                <w:sz w:val="20"/>
                <w:szCs w:val="20"/>
                <w:color w:val="auto"/>
              </w:rPr>
            </w:pPr>
            <w:r>
              <w:rPr>
                <w:rFonts w:ascii="Arial" w:cs="Arial" w:eastAsia="Arial" w:hAnsi="Arial"/>
                <w:sz w:val="22"/>
                <w:szCs w:val="22"/>
                <w:color w:val="auto"/>
                <w:w w:val="92"/>
              </w:rPr>
              <w:t>President and CEO</w:t>
            </w:r>
          </w:p>
        </w:tc>
        <w:tc>
          <w:tcPr>
            <w:tcW w:w="6480" w:type="dxa"/>
            <w:vAlign w:val="bottom"/>
            <w:gridSpan w:val="4"/>
          </w:tcPr>
          <w:p>
            <w:pPr>
              <w:ind w:left="100"/>
              <w:spacing w:after="0"/>
              <w:rPr>
                <w:sz w:val="20"/>
                <w:szCs w:val="20"/>
                <w:color w:val="auto"/>
              </w:rPr>
            </w:pPr>
            <w:r>
              <w:rPr>
                <w:rFonts w:ascii="Arial" w:cs="Arial" w:eastAsia="Arial" w:hAnsi="Arial"/>
                <w:sz w:val="22"/>
                <w:szCs w:val="22"/>
                <w:color w:val="auto"/>
                <w:w w:val="89"/>
              </w:rPr>
              <w:t>Senior Vice President &amp; Division President, Unmanned Systems Division</w:t>
            </w:r>
          </w:p>
        </w:tc>
      </w:tr>
    </w:tbl>
    <w:p>
      <w:pPr>
        <w:spacing w:after="0" w:line="200" w:lineRule="exact"/>
        <w:rPr>
          <w:sz w:val="20"/>
          <w:szCs w:val="20"/>
          <w:color w:val="auto"/>
        </w:rPr>
      </w:pPr>
    </w:p>
    <w:p>
      <w:pPr>
        <w:spacing w:after="0" w:line="295" w:lineRule="exact"/>
        <w:rPr>
          <w:sz w:val="20"/>
          <w:szCs w:val="20"/>
          <w:color w:val="auto"/>
        </w:rPr>
      </w:pPr>
    </w:p>
    <w:p>
      <w:pPr>
        <w:spacing w:after="0"/>
        <w:tabs>
          <w:tab w:leader="none" w:pos="1900" w:val="left"/>
        </w:tabs>
        <w:rPr>
          <w:sz w:val="20"/>
          <w:szCs w:val="20"/>
          <w:color w:val="auto"/>
        </w:rPr>
      </w:pPr>
      <w:r>
        <w:rPr>
          <w:rFonts w:ascii="Arial" w:cs="Arial" w:eastAsia="Arial" w:hAnsi="Arial"/>
          <w:sz w:val="22"/>
          <w:szCs w:val="22"/>
          <w:color w:val="auto"/>
        </w:rPr>
        <w:t>Address for Notice:</w:t>
      </w:r>
      <w:r>
        <w:rPr>
          <w:sz w:val="20"/>
          <w:szCs w:val="20"/>
          <w:color w:val="auto"/>
        </w:rPr>
        <w:tab/>
      </w:r>
      <w:r>
        <w:rPr>
          <w:rFonts w:ascii="Arial" w:cs="Arial" w:eastAsia="Arial" w:hAnsi="Arial"/>
          <w:sz w:val="19"/>
          <w:szCs w:val="19"/>
          <w:color w:val="auto"/>
        </w:rPr>
        <w:t>Address for Notice:</w:t>
      </w:r>
    </w:p>
    <w:p>
      <w:pPr>
        <w:spacing w:after="0" w:line="172" w:lineRule="exact"/>
        <w:rPr>
          <w:sz w:val="20"/>
          <w:szCs w:val="20"/>
          <w:color w:val="auto"/>
        </w:rPr>
      </w:pPr>
    </w:p>
    <w:p>
      <w:pPr>
        <w:spacing w:after="0"/>
        <w:tabs>
          <w:tab w:leader="none" w:pos="2800" w:val="left"/>
        </w:tabs>
        <w:rPr>
          <w:sz w:val="20"/>
          <w:szCs w:val="20"/>
          <w:color w:val="auto"/>
        </w:rPr>
      </w:pPr>
      <w:r>
        <w:rPr>
          <w:rFonts w:ascii="Arial" w:cs="Arial" w:eastAsia="Arial" w:hAnsi="Arial"/>
          <w:sz w:val="22"/>
          <w:szCs w:val="22"/>
          <w:color w:val="auto"/>
        </w:rPr>
        <w:t>10680 Treena Street, 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r>
        <w:rPr>
          <w:sz w:val="20"/>
          <w:szCs w:val="20"/>
          <w:color w:val="auto"/>
        </w:rPr>
        <w:tab/>
      </w:r>
      <w:r>
        <w:rPr>
          <w:rFonts w:ascii="Arial" w:cs="Arial" w:eastAsia="Arial" w:hAnsi="Arial"/>
          <w:sz w:val="19"/>
          <w:szCs w:val="19"/>
          <w:color w:val="auto"/>
        </w:rPr>
        <w:t>General Counsel</w:t>
      </w:r>
    </w:p>
    <w:p>
      <w:pPr>
        <w:spacing w:after="0"/>
        <w:rPr>
          <w:sz w:val="20"/>
          <w:szCs w:val="20"/>
          <w:color w:val="auto"/>
        </w:rPr>
      </w:pPr>
      <w:r>
        <w:rPr>
          <w:rFonts w:ascii="Arial" w:cs="Arial" w:eastAsia="Arial" w:hAnsi="Arial"/>
          <w:sz w:val="22"/>
          <w:szCs w:val="22"/>
          <w:color w:val="auto"/>
        </w:rPr>
        <w:t>San Diego, CA 92131</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Attn: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490"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6560" w:type="dxa"/>
            <w:vAlign w:val="bottom"/>
            <w:gridSpan w:val="2"/>
          </w:tcPr>
          <w:p>
            <w:pPr>
              <w:ind w:left="440"/>
              <w:spacing w:after="0"/>
              <w:rPr>
                <w:sz w:val="20"/>
                <w:szCs w:val="20"/>
                <w:color w:val="auto"/>
              </w:rPr>
            </w:pPr>
            <w:r>
              <w:rPr>
                <w:rFonts w:ascii="Arial" w:cs="Arial" w:eastAsia="Arial" w:hAnsi="Arial"/>
                <w:sz w:val="18"/>
                <w:szCs w:val="18"/>
                <w:b w:val="1"/>
                <w:bCs w:val="1"/>
                <w:color w:val="auto"/>
              </w:rPr>
              <w:t>List of Subsidiaries</w:t>
            </w:r>
          </w:p>
        </w:tc>
      </w:tr>
      <w:tr>
        <w:trPr>
          <w:trHeight w:val="648"/>
        </w:trPr>
        <w:tc>
          <w:tcPr>
            <w:tcW w:w="4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r>
        <w:trPr>
          <w:trHeight w:val="237"/>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5-D Systems, Inc.</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Texas</w:t>
            </w:r>
          </w:p>
        </w:tc>
      </w:tr>
      <w:tr>
        <w:trPr>
          <w:trHeight w:val="237"/>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Ai Metrix, Inc.</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Delaware</w:t>
            </w:r>
          </w:p>
        </w:tc>
      </w:tr>
      <w:tr>
        <w:trPr>
          <w:trHeight w:val="237"/>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ASC Signal Corporation</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Delaware</w:t>
            </w:r>
          </w:p>
        </w:tc>
      </w:tr>
      <w:tr>
        <w:trPr>
          <w:trHeight w:val="236"/>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ASC Signal Global Corporation</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Delaware</w:t>
            </w:r>
          </w:p>
        </w:tc>
      </w:tr>
      <w:tr>
        <w:trPr>
          <w:trHeight w:val="237"/>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ASC Signal International Corporation</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Delaware</w:t>
            </w:r>
          </w:p>
        </w:tc>
      </w:tr>
      <w:tr>
        <w:trPr>
          <w:trHeight w:val="237"/>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ASCS Canadian Signal Corporation</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Canada</w:t>
            </w:r>
          </w:p>
        </w:tc>
      </w:tr>
      <w:tr>
        <w:trPr>
          <w:trHeight w:val="237"/>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Avtec Systems, Inc.</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Virginia</w:t>
            </w:r>
          </w:p>
        </w:tc>
      </w:tr>
      <w:tr>
        <w:trPr>
          <w:trHeight w:val="237"/>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BSC Partners, LLC</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New York</w:t>
            </w:r>
          </w:p>
        </w:tc>
      </w:tr>
      <w:tr>
        <w:trPr>
          <w:trHeight w:val="236"/>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Carlsbad ISI, Inc.</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Maryland</w:t>
            </w:r>
          </w:p>
        </w:tc>
      </w:tr>
      <w:tr>
        <w:trPr>
          <w:trHeight w:val="237"/>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Charleston Marine Containers, Inc.</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Delaware</w:t>
            </w:r>
          </w:p>
        </w:tc>
      </w:tr>
      <w:tr>
        <w:trPr>
          <w:trHeight w:val="237"/>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Consolidated Turbine Specialists, LLC</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Oklahoma</w:t>
            </w:r>
          </w:p>
        </w:tc>
      </w:tr>
      <w:tr>
        <w:trPr>
          <w:trHeight w:val="237"/>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w w:val="99"/>
              </w:rPr>
              <w:t>Consolidated Turbine Specialists Canada, LLP</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Canada</w:t>
            </w:r>
          </w:p>
        </w:tc>
      </w:tr>
      <w:tr>
        <w:trPr>
          <w:trHeight w:val="236"/>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Consolidated Turbine Specialists Canada, Ltd.</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Canada</w:t>
            </w:r>
          </w:p>
        </w:tc>
      </w:tr>
      <w:tr>
        <w:trPr>
          <w:trHeight w:val="237"/>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Dallastown Realty I, LLC</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Delaware</w:t>
            </w:r>
          </w:p>
        </w:tc>
      </w:tr>
      <w:tr>
        <w:trPr>
          <w:trHeight w:val="237"/>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Dallastown Realty II, LLC</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Delaware</w:t>
            </w:r>
          </w:p>
        </w:tc>
      </w:tr>
      <w:tr>
        <w:trPr>
          <w:trHeight w:val="237"/>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DEI Services Corporation</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Florida</w:t>
            </w:r>
          </w:p>
        </w:tc>
      </w:tr>
      <w:tr>
        <w:trPr>
          <w:trHeight w:val="237"/>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DFI Realty, LLC</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Florida</w:t>
            </w:r>
          </w:p>
        </w:tc>
      </w:tr>
      <w:tr>
        <w:trPr>
          <w:trHeight w:val="236"/>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Digital Fusion Solutions, Inc.</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Florida</w:t>
            </w:r>
          </w:p>
        </w:tc>
      </w:tr>
      <w:tr>
        <w:trPr>
          <w:trHeight w:val="236"/>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Digital Fusion, Inc.</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Delaware</w:t>
            </w:r>
          </w:p>
        </w:tc>
      </w:tr>
      <w:tr>
        <w:trPr>
          <w:trHeight w:val="237"/>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DTI Associates, Inc.</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Virginia</w:t>
            </w:r>
          </w:p>
        </w:tc>
      </w:tr>
      <w:tr>
        <w:trPr>
          <w:trHeight w:val="236"/>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Elwood Investments, LLC</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Florida</w:t>
            </w:r>
          </w:p>
        </w:tc>
      </w:tr>
      <w:tr>
        <w:trPr>
          <w:trHeight w:val="237"/>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Florida Turbine PR, LLC</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Puerto Rico</w:t>
            </w:r>
          </w:p>
        </w:tc>
      </w:tr>
      <w:tr>
        <w:trPr>
          <w:trHeight w:val="236"/>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Florida Turbine Technologies, Inc.*</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Florida</w:t>
            </w:r>
          </w:p>
        </w:tc>
      </w:tr>
      <w:tr>
        <w:trPr>
          <w:trHeight w:val="237"/>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FTT America, LLC</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Delaware</w:t>
            </w:r>
          </w:p>
        </w:tc>
      </w:tr>
      <w:tr>
        <w:trPr>
          <w:trHeight w:val="236"/>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FTT UK Limited</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United Kingdom</w:t>
            </w:r>
          </w:p>
        </w:tc>
      </w:tr>
      <w:tr>
        <w:trPr>
          <w:trHeight w:val="237"/>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FTT Deutschland GmbH</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Germany</w:t>
            </w:r>
          </w:p>
        </w:tc>
      </w:tr>
      <w:tr>
        <w:trPr>
          <w:trHeight w:val="237"/>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General Microwave Israel (1987) Ltd.</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Israel</w:t>
            </w:r>
          </w:p>
        </w:tc>
      </w:tr>
      <w:tr>
        <w:trPr>
          <w:trHeight w:val="236"/>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General Microwave Israel Corporation</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Delaware</w:t>
            </w:r>
          </w:p>
        </w:tc>
      </w:tr>
      <w:tr>
        <w:trPr>
          <w:trHeight w:val="237"/>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General Microwave Corporation</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New York</w:t>
            </w:r>
          </w:p>
        </w:tc>
      </w:tr>
      <w:tr>
        <w:trPr>
          <w:trHeight w:val="236"/>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Gichner Europe Limited</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United Kingdom</w:t>
            </w:r>
          </w:p>
        </w:tc>
      </w:tr>
      <w:tr>
        <w:trPr>
          <w:trHeight w:val="237"/>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Gichner Systems Group, Inc.</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Delaware</w:t>
            </w:r>
          </w:p>
        </w:tc>
      </w:tr>
      <w:tr>
        <w:trPr>
          <w:trHeight w:val="236"/>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Gichner Systems International, Inc.</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Delaware</w:t>
            </w:r>
          </w:p>
        </w:tc>
      </w:tr>
      <w:tr>
        <w:trPr>
          <w:trHeight w:val="237"/>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Haverstick Consulting, Inc.</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Indiana</w:t>
            </w:r>
          </w:p>
        </w:tc>
      </w:tr>
      <w:tr>
        <w:trPr>
          <w:trHeight w:val="236"/>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Haverstick Government Solutions, Inc.</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Ohio</w:t>
            </w:r>
          </w:p>
        </w:tc>
      </w:tr>
      <w:tr>
        <w:trPr>
          <w:trHeight w:val="237"/>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HGS Holdings, Inc.</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Indiana</w:t>
            </w:r>
          </w:p>
        </w:tc>
      </w:tr>
      <w:tr>
        <w:trPr>
          <w:trHeight w:val="237"/>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JMA Associates, Inc.</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Delaware</w:t>
            </w:r>
          </w:p>
        </w:tc>
      </w:tr>
      <w:tr>
        <w:trPr>
          <w:trHeight w:val="236"/>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Kratos Antenna Holdings Division, Inc.</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Delaware</w:t>
            </w:r>
          </w:p>
        </w:tc>
      </w:tr>
      <w:tr>
        <w:trPr>
          <w:trHeight w:val="236"/>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Kratos Arabia, Ltd.</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Saudi Arabia</w:t>
            </w:r>
          </w:p>
        </w:tc>
      </w:tr>
      <w:tr>
        <w:trPr>
          <w:trHeight w:val="236"/>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Kratos Communications, Inc.</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Delaware</w:t>
            </w:r>
          </w:p>
        </w:tc>
      </w:tr>
      <w:tr>
        <w:trPr>
          <w:trHeight w:val="236"/>
        </w:trPr>
        <w:tc>
          <w:tcPr>
            <w:tcW w:w="4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Kratos Communications Ltd.</w:t>
            </w:r>
          </w:p>
        </w:tc>
        <w:tc>
          <w:tcPr>
            <w:tcW w:w="1820" w:type="dxa"/>
            <w:vAlign w:val="bottom"/>
            <w:tcBorders>
              <w:bottom w:val="single" w:sz="8" w:color="auto"/>
              <w:right w:val="single" w:sz="8" w:color="auto"/>
            </w:tcBorders>
          </w:tcPr>
          <w:p>
            <w:pPr>
              <w:spacing w:after="0"/>
              <w:rPr>
                <w:sz w:val="20"/>
                <w:szCs w:val="20"/>
                <w:color w:val="auto"/>
              </w:rPr>
            </w:pP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United Kingdom</w:t>
            </w:r>
          </w:p>
        </w:tc>
      </w:tr>
    </w:tbl>
    <w:p>
      <w:pPr>
        <w:sectPr>
          <w:pgSz w:w="11900" w:h="16838" w:orient="portrait"/>
          <w:cols w:equalWidth="0" w:num="1">
            <w:col w:w="10960"/>
          </w:cols>
          <w:pgMar w:left="600" w:top="904" w:right="339" w:bottom="1440" w:gutter="0" w:footer="0" w:header="0"/>
        </w:sectPr>
      </w:pPr>
    </w:p>
    <w:bookmarkStart w:id="121" w:name="page122"/>
    <w:bookmarkEnd w:id="121"/>
    <w:p>
      <w:pPr>
        <w:spacing w:after="0" w:line="1" w:lineRule="exact"/>
        <w:rPr>
          <w:sz w:val="20"/>
          <w:szCs w:val="20"/>
          <w:color w:val="auto"/>
        </w:rPr>
      </w:pPr>
    </w:p>
    <w:tbl>
      <w:tblPr>
        <w:tblLayout w:type="fixed"/>
        <w:tblInd w:w="282" w:type="dxa"/>
        <w:tblCellMar>
          <w:top w:w="0" w:type="dxa"/>
          <w:left w:w="0" w:type="dxa"/>
          <w:bottom w:w="0" w:type="dxa"/>
          <w:right w:w="0" w:type="dxa"/>
        </w:tblCellMar>
      </w:tblPr>
      <w:tr>
        <w:trPr>
          <w:trHeight w:val="257"/>
        </w:trPr>
        <w:tc>
          <w:tcPr>
            <w:tcW w:w="59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Communications S.A.S.</w:t>
            </w:r>
          </w:p>
        </w:tc>
        <w:tc>
          <w:tcPr>
            <w:tcW w:w="47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France</w:t>
            </w:r>
          </w:p>
        </w:tc>
      </w:tr>
      <w:tr>
        <w:trPr>
          <w:trHeight w:val="237"/>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Defence (Australia) Pty Limited</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Australia</w:t>
            </w:r>
          </w:p>
        </w:tc>
      </w:tr>
      <w:tr>
        <w:trPr>
          <w:trHeight w:val="23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Defense &amp; Rocket Support Services,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Delaware</w:t>
            </w:r>
          </w:p>
        </w:tc>
      </w:tr>
      <w:tr>
        <w:trPr>
          <w:trHeight w:val="237"/>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Holdings UK Ltd.</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United Kingdom</w:t>
            </w:r>
          </w:p>
        </w:tc>
      </w:tr>
      <w:tr>
        <w:trPr>
          <w:trHeight w:val="237"/>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Integral Holdings, LLC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Maryland</w:t>
            </w:r>
          </w:p>
        </w:tc>
      </w:tr>
      <w:tr>
        <w:trPr>
          <w:trHeight w:val="237"/>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Integral Systems International,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California</w:t>
            </w:r>
          </w:p>
        </w:tc>
      </w:tr>
      <w:tr>
        <w:trPr>
          <w:trHeight w:val="23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GMI Eyal Ltd.</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Israel</w:t>
            </w:r>
          </w:p>
        </w:tc>
      </w:tr>
      <w:tr>
        <w:trPr>
          <w:trHeight w:val="237"/>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Norway AS</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Norway</w:t>
            </w:r>
          </w:p>
        </w:tc>
      </w:tr>
      <w:tr>
        <w:trPr>
          <w:trHeight w:val="237"/>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RT Logic,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Colorado</w:t>
            </w:r>
          </w:p>
        </w:tc>
      </w:tr>
      <w:tr>
        <w:trPr>
          <w:trHeight w:val="237"/>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Technology &amp; Training Solutions,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California</w:t>
            </w:r>
          </w:p>
        </w:tc>
      </w:tr>
      <w:tr>
        <w:trPr>
          <w:trHeight w:val="237"/>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Unmanned Aerial Systems,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California</w:t>
            </w:r>
          </w:p>
        </w:tc>
      </w:tr>
      <w:tr>
        <w:trPr>
          <w:trHeight w:val="23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Unmanned Systems Solutions,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Delaware</w:t>
            </w:r>
          </w:p>
        </w:tc>
      </w:tr>
      <w:tr>
        <w:trPr>
          <w:trHeight w:val="237"/>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Space &amp; Missile Defense Systems,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Delaware</w:t>
            </w:r>
          </w:p>
        </w:tc>
      </w:tr>
      <w:tr>
        <w:trPr>
          <w:trHeight w:val="237"/>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Systems and Solutions,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Virginia</w:t>
            </w:r>
          </w:p>
        </w:tc>
      </w:tr>
      <w:tr>
        <w:trPr>
          <w:trHeight w:val="237"/>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KTT CORE,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Delaware</w:t>
            </w:r>
          </w:p>
        </w:tc>
      </w:tr>
      <w:tr>
        <w:trPr>
          <w:trHeight w:val="23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LVDM,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Nevada</w:t>
            </w:r>
          </w:p>
        </w:tc>
      </w:tr>
      <w:tr>
        <w:trPr>
          <w:trHeight w:val="237"/>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Madison Research Corporation</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Alabama</w:t>
            </w:r>
          </w:p>
        </w:tc>
      </w:tr>
      <w:tr>
        <w:trPr>
          <w:trHeight w:val="237"/>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Micro Systems,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Florida</w:t>
            </w:r>
          </w:p>
        </w:tc>
      </w:tr>
      <w:tr>
        <w:trPr>
          <w:trHeight w:val="237"/>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MSI Acquisition Corp.</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Delaware</w:t>
            </w:r>
          </w:p>
        </w:tc>
      </w:tr>
      <w:tr>
        <w:trPr>
          <w:trHeight w:val="237"/>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Optimized Performance Machining,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Pennsylvania</w:t>
            </w:r>
          </w:p>
        </w:tc>
      </w:tr>
      <w:tr>
        <w:trPr>
          <w:trHeight w:val="23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Polexis,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California</w:t>
            </w:r>
          </w:p>
        </w:tc>
      </w:tr>
      <w:tr>
        <w:trPr>
          <w:trHeight w:val="237"/>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Reality Based IT Services Ltd.</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Maryland</w:t>
            </w:r>
          </w:p>
        </w:tc>
      </w:tr>
      <w:tr>
        <w:trPr>
          <w:trHeight w:val="237"/>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Rocket Support Services, LLC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Indiana</w:t>
            </w:r>
          </w:p>
        </w:tc>
      </w:tr>
      <w:tr>
        <w:trPr>
          <w:trHeight w:val="23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 &amp; J Design, LLC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Delaware</w:t>
            </w:r>
          </w:p>
        </w:tc>
      </w:tr>
      <w:tr>
        <w:trPr>
          <w:trHeight w:val="237"/>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SAT Corporation</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California</w:t>
            </w:r>
          </w:p>
        </w:tc>
      </w:tr>
      <w:tr>
        <w:trPr>
          <w:trHeight w:val="23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SCT Acquisition, LLC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Delaware</w:t>
            </w:r>
          </w:p>
        </w:tc>
      </w:tr>
      <w:tr>
        <w:trPr>
          <w:trHeight w:val="237"/>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SCT Real Estate, LLC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Delaware</w:t>
            </w:r>
          </w:p>
        </w:tc>
      </w:tr>
      <w:tr>
        <w:trPr>
          <w:trHeight w:val="237"/>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SecureInfo Corporation</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Delaware</w:t>
            </w:r>
          </w:p>
        </w:tc>
      </w:tr>
      <w:tr>
        <w:trPr>
          <w:trHeight w:val="23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Shadow I,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California</w:t>
            </w:r>
          </w:p>
        </w:tc>
      </w:tr>
      <w:tr>
        <w:trPr>
          <w:trHeight w:val="237"/>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Shadow II,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California</w:t>
            </w:r>
          </w:p>
        </w:tc>
      </w:tr>
      <w:tr>
        <w:trPr>
          <w:trHeight w:val="23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Summit Research Corporation</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Alabama</w:t>
            </w:r>
          </w:p>
        </w:tc>
      </w:tr>
      <w:tr>
        <w:trPr>
          <w:trHeight w:val="237"/>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Technical Directions,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Michigan</w:t>
            </w:r>
          </w:p>
        </w:tc>
      </w:tr>
      <w:tr>
        <w:trPr>
          <w:trHeight w:val="236"/>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Turbine Export, Inc.</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Florida</w:t>
            </w:r>
          </w:p>
        </w:tc>
      </w:tr>
    </w:tbl>
    <w:p>
      <w:pPr>
        <w:spacing w:after="0" w:line="200" w:lineRule="exact"/>
        <w:rPr>
          <w:sz w:val="20"/>
          <w:szCs w:val="20"/>
          <w:color w:val="auto"/>
        </w:rPr>
      </w:pPr>
    </w:p>
    <w:p>
      <w:pPr>
        <w:spacing w:after="0" w:line="312" w:lineRule="exact"/>
        <w:rPr>
          <w:sz w:val="20"/>
          <w:szCs w:val="20"/>
          <w:color w:val="auto"/>
        </w:rPr>
      </w:pPr>
    </w:p>
    <w:p>
      <w:pPr>
        <w:ind w:left="132" w:hanging="132"/>
        <w:spacing w:after="0"/>
        <w:tabs>
          <w:tab w:leader="none" w:pos="132"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80.1% owned by Kratos Defense &amp; Security Solutions, Inc.</w:t>
      </w:r>
    </w:p>
    <w:p>
      <w:pPr>
        <w:sectPr>
          <w:pgSz w:w="11900" w:h="16838" w:orient="portrait"/>
          <w:cols w:equalWidth="0" w:num="1">
            <w:col w:w="10992"/>
          </w:cols>
          <w:pgMar w:left="328" w:top="1010" w:right="57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747678"/>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consent to the incorporation by reference in Registration Statement Nos. 333-53014, 333-71618, 333-74108, 333-161340, 333-172103, 333-252921, and 333-252914 on Form S-3; Registration Statement Nos. 333-150165, 333-155604, 333-167840, 333-174745, 333-174760, 333-177493, and 333-198265 on Form S-4; and Registration Statement Nos. 333-90455, 333-54818, 333-71702, 333-91852, 333-116903, 333-124957, 333-127060, 333-155317, 333-157826, 333-167839, 333-171257, 333-173383, 333-177494, 333-179977, 333-182910, 333-191156, 333-198268, 333-206620, 333-219595, and 333-240343 on Form S-8 of our report dated February 25, 2021, relating to the financial statements of Kratos Defense &amp; Security Solutions, Inc. and subsidiaries, and the effectiveness of Kratos Defense &amp; Security Solutions, Inc. and subsidiaries’ internal control over financial reporting appearing in this Annual Report on Form 10-K of Kratos Defense &amp; Security Solutions, Inc. for the fiscal year ended December 27,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ectPr>
          <w:pgSz w:w="11900" w:h="16838" w:orient="portrait"/>
          <w:cols w:equalWidth="0" w:num="1">
            <w:col w:w="11240"/>
          </w:cols>
          <w:pgMar w:left="320" w:top="121"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Kratos Defense &amp; Security Solutions, Inc.;</w:t>
      </w:r>
    </w:p>
    <w:p>
      <w:pPr>
        <w:spacing w:after="0" w:line="19" w:lineRule="exact"/>
        <w:rPr>
          <w:rFonts w:ascii="Arial" w:cs="Arial" w:eastAsia="Arial" w:hAnsi="Arial"/>
          <w:sz w:val="16"/>
          <w:szCs w:val="16"/>
          <w:color w:val="auto"/>
        </w:rPr>
      </w:pPr>
    </w:p>
    <w:p>
      <w:pPr>
        <w:ind w:left="660" w:hanging="652"/>
        <w:spacing w:after="0" w:line="262" w:lineRule="auto"/>
        <w:tabs>
          <w:tab w:leader="none" w:pos="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660" w:right="520" w:hanging="652"/>
        <w:spacing w:after="0" w:line="246"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00" w:hanging="652"/>
        <w:spacing w:after="0" w:line="251"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Arial" w:cs="Arial" w:eastAsia="Arial" w:hAnsi="Arial"/>
          <w:sz w:val="16"/>
          <w:szCs w:val="16"/>
          <w:color w:val="auto"/>
        </w:rPr>
      </w:pPr>
    </w:p>
    <w:p>
      <w:pPr>
        <w:ind w:left="1300" w:right="300" w:hanging="644"/>
        <w:spacing w:after="0" w:line="252" w:lineRule="auto"/>
        <w:tabs>
          <w:tab w:leader="none" w:pos="1291" w:val="left"/>
        </w:tabs>
        <w:numPr>
          <w:ilvl w:val="1"/>
          <w:numId w:val="6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100" w:hanging="644"/>
        <w:spacing w:after="0" w:line="246" w:lineRule="auto"/>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160" w:hanging="644"/>
        <w:spacing w:after="0" w:line="246" w:lineRule="auto"/>
        <w:tabs>
          <w:tab w:leader="none" w:pos="1291"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80" w:hanging="644"/>
        <w:spacing w:after="0" w:line="251" w:lineRule="auto"/>
        <w:tabs>
          <w:tab w:leader="none" w:pos="13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660" w:right="120" w:hanging="652"/>
        <w:spacing w:after="0" w:line="275"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80" w:hanging="644"/>
        <w:spacing w:after="0" w:line="255" w:lineRule="auto"/>
        <w:tabs>
          <w:tab w:leader="none" w:pos="1291"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00" w:hanging="644"/>
        <w:spacing w:after="0" w:line="257" w:lineRule="auto"/>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25, 2021</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wp:posOffset>
            </wp:positionV>
            <wp:extent cx="34544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895"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6"/>
          <w:szCs w:val="16"/>
          <w:color w:val="auto"/>
        </w:rPr>
        <w:t>I have reviewed this Annual report on Form 10-K of Kratos Defense &amp; Security Solutions, Inc.;</w:t>
      </w:r>
    </w:p>
    <w:p>
      <w:pPr>
        <w:spacing w:after="0" w:line="9" w:lineRule="exact"/>
        <w:rPr>
          <w:rFonts w:ascii="Arial" w:cs="Arial" w:eastAsia="Arial" w:hAnsi="Arial"/>
          <w:sz w:val="18"/>
          <w:szCs w:val="18"/>
          <w:color w:val="auto"/>
        </w:rPr>
      </w:pPr>
    </w:p>
    <w:p>
      <w:pPr>
        <w:ind w:left="660" w:hanging="652"/>
        <w:spacing w:after="0" w:line="266"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7"/>
          <w:szCs w:val="17"/>
          <w:color w:val="auto"/>
        </w:rPr>
      </w:pPr>
    </w:p>
    <w:p>
      <w:pPr>
        <w:ind w:left="660" w:right="520" w:hanging="652"/>
        <w:spacing w:after="0" w:line="24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00" w:hanging="652"/>
        <w:spacing w:after="0" w:line="251"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Arial" w:cs="Arial" w:eastAsia="Arial" w:hAnsi="Arial"/>
          <w:sz w:val="18"/>
          <w:szCs w:val="18"/>
          <w:color w:val="auto"/>
        </w:rPr>
      </w:pPr>
    </w:p>
    <w:p>
      <w:pPr>
        <w:ind w:left="1300" w:right="280" w:hanging="644"/>
        <w:spacing w:after="0" w:line="249" w:lineRule="auto"/>
        <w:tabs>
          <w:tab w:leader="none" w:pos="1297" w:val="left"/>
        </w:tabs>
        <w:numPr>
          <w:ilvl w:val="1"/>
          <w:numId w:val="64"/>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120" w:hanging="644"/>
        <w:spacing w:after="0" w:line="247" w:lineRule="auto"/>
        <w:tabs>
          <w:tab w:leader="none" w:pos="1294" w:val="left"/>
        </w:tabs>
        <w:numPr>
          <w:ilvl w:val="1"/>
          <w:numId w:val="64"/>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ind w:left="1300" w:right="140" w:hanging="644"/>
        <w:spacing w:after="0" w:line="248" w:lineRule="auto"/>
        <w:tabs>
          <w:tab w:leader="none" w:pos="1297" w:val="left"/>
        </w:tabs>
        <w:numPr>
          <w:ilvl w:val="1"/>
          <w:numId w:val="64"/>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80" w:hanging="644"/>
        <w:spacing w:after="0" w:line="251" w:lineRule="auto"/>
        <w:tabs>
          <w:tab w:leader="none" w:pos="1334" w:val="left"/>
        </w:tabs>
        <w:numPr>
          <w:ilvl w:val="1"/>
          <w:numId w:val="64"/>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Arial" w:cs="Arial" w:eastAsia="Arial" w:hAnsi="Arial"/>
          <w:sz w:val="18"/>
          <w:szCs w:val="18"/>
          <w:color w:val="auto"/>
        </w:rPr>
      </w:pPr>
    </w:p>
    <w:p>
      <w:pPr>
        <w:ind w:left="660" w:right="120" w:hanging="652"/>
        <w:spacing w:after="0" w:line="263"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8"/>
          <w:szCs w:val="18"/>
          <w:color w:val="auto"/>
        </w:rPr>
      </w:pPr>
    </w:p>
    <w:p>
      <w:pPr>
        <w:ind w:left="1300" w:right="80" w:hanging="644"/>
        <w:spacing w:after="0" w:line="250" w:lineRule="auto"/>
        <w:tabs>
          <w:tab w:leader="none" w:pos="1297" w:val="left"/>
        </w:tabs>
        <w:numPr>
          <w:ilvl w:val="1"/>
          <w:numId w:val="64"/>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1300" w:right="300" w:hanging="644"/>
        <w:spacing w:after="0" w:line="258" w:lineRule="auto"/>
        <w:tabs>
          <w:tab w:leader="none" w:pos="1294" w:val="left"/>
        </w:tabs>
        <w:numPr>
          <w:ilvl w:val="1"/>
          <w:numId w:val="64"/>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25, 2021</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wp:posOffset>
            </wp:positionV>
            <wp:extent cx="34544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895"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20" w:firstLine="162"/>
        <w:spacing w:after="0" w:line="261" w:lineRule="auto"/>
        <w:rPr>
          <w:sz w:val="20"/>
          <w:szCs w:val="20"/>
          <w:color w:val="auto"/>
        </w:rPr>
      </w:pPr>
      <w:r>
        <w:rPr>
          <w:rFonts w:ascii="Arial" w:cs="Arial" w:eastAsia="Arial" w:hAnsi="Arial"/>
          <w:sz w:val="16"/>
          <w:szCs w:val="16"/>
          <w:color w:val="auto"/>
        </w:rPr>
        <w:t>In connection with the accompanying Annual Report of Kratos Defense &amp; Security Solutions, Inc. (the “Company”) on Form 10-K for the year ended December 27, 2020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25, 2021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35401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895"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jc w:val="both"/>
        <w:ind w:right="20" w:firstLine="162"/>
        <w:spacing w:after="0" w:line="261" w:lineRule="auto"/>
        <w:rPr>
          <w:sz w:val="20"/>
          <w:szCs w:val="20"/>
          <w:color w:val="auto"/>
        </w:rPr>
      </w:pPr>
      <w:r>
        <w:rPr>
          <w:rFonts w:ascii="Arial" w:cs="Arial" w:eastAsia="Arial" w:hAnsi="Arial"/>
          <w:sz w:val="16"/>
          <w:szCs w:val="16"/>
          <w:color w:val="auto"/>
        </w:rPr>
        <w:t>In connection with the accompanying Annual Report of Kratos Defense &amp; Security Solutions, Inc. (the “Company”) on Form 10-K for the year ended December 27, 2020 (the “Report”), I, Deanna H. Lund,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25, 2021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35401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1)"/>
      <w:numFmt w:val="decimal"/>
      <w:start w:val="1"/>
    </w:lvl>
  </w:abstractNum>
  <w:abstractNum w:abstractNumId="25">
    <w:nsid w:val="4B588F54"/>
    <w:multiLevelType w:val="hybridMultilevel"/>
    <w:lvl w:ilvl="0">
      <w:lvlJc w:val="left"/>
      <w:lvlText w:val="(%1)"/>
      <w:numFmt w:val="decimal"/>
      <w:start w:val="5"/>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1)"/>
      <w:numFmt w:val="lowerLetter"/>
      <w:start w:val="3"/>
    </w:lvl>
  </w:abstractNum>
  <w:abstractNum w:abstractNumId="31">
    <w:nsid w:val="684A481A"/>
    <w:multiLevelType w:val="hybridMultilevel"/>
    <w:lvl w:ilvl="0">
      <w:lvlJc w:val="left"/>
      <w:lvlText w:val="•"/>
      <w:numFmt w:val="bullet"/>
      <w:start w:val="1"/>
    </w:lvl>
    <w:lvl w:ilvl="1">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lvl w:ilvl="1">
      <w:lvlJc w:val="left"/>
      <w:lvlText w:val="\endash "/>
      <w:numFmt w:val="bullet"/>
      <w:start w:val="1"/>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1)"/>
      <w:numFmt w:val="lowerRoman"/>
      <w:start w:val="1"/>
    </w:lvl>
  </w:abstractNum>
  <w:abstractNum w:abstractNumId="36">
    <w:nsid w:val="79A1DEAA"/>
    <w:multiLevelType w:val="hybridMultilevel"/>
    <w:lvl w:ilvl="0">
      <w:lvlJc w:val="left"/>
      <w:lvlText w:val="(%1)"/>
      <w:numFmt w:val="lowerLetter"/>
      <w:start w:val="12"/>
    </w:lvl>
  </w:abstractNum>
  <w:abstractNum w:abstractNumId="37">
    <w:nsid w:val="75C6C33A"/>
    <w:multiLevelType w:val="hybridMultilevel"/>
    <w:lvl w:ilvl="0">
      <w:lvlJc w:val="left"/>
      <w:lvlText w:val="(%1)"/>
      <w:numFmt w:val="lowerLetter"/>
      <w:start w:val="19"/>
    </w:lvl>
  </w:abstractNum>
  <w:abstractNum w:abstractNumId="38">
    <w:nsid w:val="12E685FB"/>
    <w:multiLevelType w:val="hybridMultilevel"/>
    <w:lvl w:ilvl="0">
      <w:lvlJc w:val="left"/>
      <w:lvlText w:val="(%1)"/>
      <w:numFmt w:val="lowerLetter"/>
      <w:start w:val="1"/>
    </w:lvl>
  </w:abstractNum>
  <w:abstractNum w:abstractNumId="39">
    <w:nsid w:val="70C6A529"/>
    <w:multiLevelType w:val="hybridMultilevel"/>
    <w:lvl w:ilvl="0">
      <w:lvlJc w:val="left"/>
      <w:lvlText w:val="(%1)"/>
      <w:numFmt w:val="lowerLetter"/>
      <w:start w:val="1"/>
    </w:lvl>
  </w:abstractNum>
  <w:abstractNum w:abstractNumId="40">
    <w:nsid w:val="520EEDD1"/>
    <w:multiLevelType w:val="hybridMultilevel"/>
    <w:lvl w:ilvl="0">
      <w:lvlJc w:val="left"/>
      <w:lvlText w:val="(%1)"/>
      <w:numFmt w:val="lowerLetter"/>
      <w:start w:val="1"/>
    </w:lvl>
  </w:abstractNum>
  <w:abstractNum w:abstractNumId="41">
    <w:nsid w:val="374A3FE6"/>
    <w:multiLevelType w:val="hybridMultilevel"/>
    <w:lvl w:ilvl="0">
      <w:lvlJc w:val="left"/>
      <w:lvlText w:val="(%1)"/>
      <w:numFmt w:val="lowerRoman"/>
      <w:start w:val="2"/>
    </w:lvl>
  </w:abstractNum>
  <w:abstractNum w:abstractNumId="42">
    <w:nsid w:val="4F4EF005"/>
    <w:multiLevelType w:val="hybridMultilevel"/>
    <w:lvl w:ilvl="0">
      <w:lvlJc w:val="left"/>
      <w:lvlText w:val="(%1)"/>
      <w:numFmt w:val="decimal"/>
      <w:start w:val="1"/>
    </w:lvl>
  </w:abstractNum>
  <w:abstractNum w:abstractNumId="43">
    <w:nsid w:val="23F9C13C"/>
    <w:multiLevelType w:val="hybridMultilevel"/>
    <w:lvl w:ilvl="0">
      <w:lvlJc w:val="left"/>
      <w:lvlText w:val="(%1)"/>
      <w:numFmt w:val="decimal"/>
      <w:start w:val="1"/>
    </w:lvl>
  </w:abstractNum>
  <w:abstractNum w:abstractNumId="44">
    <w:nsid w:val="649BB77C"/>
    <w:multiLevelType w:val="hybridMultilevel"/>
    <w:lvl w:ilvl="0">
      <w:lvlJc w:val="left"/>
      <w:lvlText w:val="%1."/>
      <w:numFmt w:val="upperLetter"/>
      <w:start w:val="1"/>
    </w:lvl>
  </w:abstractNum>
  <w:abstractNum w:abstractNumId="45">
    <w:nsid w:val="275AC794"/>
    <w:multiLevelType w:val="hybridMultilevel"/>
    <w:lvl w:ilvl="0">
      <w:lvlJc w:val="left"/>
      <w:lvlText w:val="%1."/>
      <w:numFmt w:val="decimal"/>
      <w:start w:val="1"/>
    </w:lvl>
  </w:abstractNum>
  <w:abstractNum w:abstractNumId="46">
    <w:nsid w:val="39386575"/>
    <w:multiLevelType w:val="hybridMultilevel"/>
    <w:lvl w:ilvl="0">
      <w:lvlJc w:val="left"/>
      <w:lvlText w:val="%1."/>
      <w:numFmt w:val="decimal"/>
      <w:start w:val="4"/>
    </w:lvl>
  </w:abstractNum>
  <w:abstractNum w:abstractNumId="47">
    <w:nsid w:val="1CF10FD8"/>
    <w:multiLevelType w:val="hybridMultilevel"/>
    <w:lvl w:ilvl="0">
      <w:lvlJc w:val="left"/>
      <w:lvlText w:val="(%1)"/>
      <w:numFmt w:val="lowerLetter"/>
      <w:start w:val="1"/>
    </w:lvl>
  </w:abstractNum>
  <w:abstractNum w:abstractNumId="48">
    <w:nsid w:val="180115BE"/>
    <w:multiLevelType w:val="hybridMultilevel"/>
    <w:lvl w:ilvl="0">
      <w:lvlJc w:val="left"/>
      <w:lvlText w:val="(%1)"/>
      <w:numFmt w:val="lowerLetter"/>
      <w:start w:val="3"/>
    </w:lvl>
  </w:abstractNum>
  <w:abstractNum w:abstractNumId="49">
    <w:nsid w:val="235BA861"/>
    <w:multiLevelType w:val="hybridMultilevel"/>
    <w:lvl w:ilvl="0">
      <w:lvlJc w:val="left"/>
      <w:lvlText w:val="%1."/>
      <w:numFmt w:val="decimal"/>
      <w:start w:val="5"/>
    </w:lvl>
  </w:abstractNum>
  <w:abstractNum w:abstractNumId="50">
    <w:nsid w:val="47398C89"/>
    <w:multiLevelType w:val="hybridMultilevel"/>
    <w:lvl w:ilvl="0">
      <w:lvlJc w:val="left"/>
      <w:lvlText w:val="(%1)"/>
      <w:numFmt w:val="decimal"/>
      <w:start w:val="30"/>
    </w:lvl>
  </w:abstractNum>
  <w:abstractNum w:abstractNumId="51">
    <w:nsid w:val="354FE9F9"/>
    <w:multiLevelType w:val="hybridMultilevel"/>
    <w:lvl w:ilvl="0">
      <w:lvlJc w:val="left"/>
      <w:lvlText w:val="(%1)"/>
      <w:numFmt w:val="decimal"/>
      <w:start w:val="12"/>
    </w:lvl>
  </w:abstractNum>
  <w:abstractNum w:abstractNumId="52">
    <w:nsid w:val="15B5AF5C"/>
    <w:multiLevelType w:val="hybridMultilevel"/>
    <w:lvl w:ilvl="0">
      <w:lvlJc w:val="left"/>
      <w:lvlText w:val="(%1)"/>
      <w:numFmt w:val="decimal"/>
      <w:start w:val="35"/>
    </w:lvl>
  </w:abstractNum>
  <w:abstractNum w:abstractNumId="53">
    <w:nsid w:val="741226BB"/>
    <w:multiLevelType w:val="hybridMultilevel"/>
    <w:lvl w:ilvl="0">
      <w:lvlJc w:val="left"/>
      <w:lvlText w:val="(%1)"/>
      <w:numFmt w:val="lowerRoman"/>
      <w:start w:val="2"/>
    </w:lvl>
    <w:lvl w:ilvl="1">
      <w:lvlJc w:val="left"/>
      <w:lvlText w:val="%2."/>
      <w:numFmt w:val="decimal"/>
      <w:start w:val="7"/>
    </w:lvl>
  </w:abstractNum>
  <w:abstractNum w:abstractNumId="54">
    <w:nsid w:val="D34B6A8"/>
    <w:multiLevelType w:val="hybridMultilevel"/>
    <w:lvl w:ilvl="0">
      <w:lvlJc w:val="left"/>
      <w:lvlText w:val="%1."/>
      <w:numFmt w:val="decimal"/>
      <w:start w:val="8"/>
    </w:lvl>
  </w:abstractNum>
  <w:abstractNum w:abstractNumId="55">
    <w:nsid w:val="10233C99"/>
    <w:multiLevelType w:val="hybridMultilevel"/>
    <w:lvl w:ilvl="0">
      <w:lvlJc w:val="left"/>
      <w:lvlText w:val="%1."/>
      <w:numFmt w:val="decimal"/>
      <w:start w:val="10"/>
    </w:lvl>
  </w:abstractNum>
  <w:abstractNum w:abstractNumId="56">
    <w:nsid w:val="3F6AB60F"/>
    <w:multiLevelType w:val="hybridMultilevel"/>
    <w:lvl w:ilvl="0">
      <w:lvlJc w:val="left"/>
      <w:lvlText w:val="%1."/>
      <w:numFmt w:val="decimal"/>
      <w:start w:val="12"/>
    </w:lvl>
  </w:abstractNum>
  <w:abstractNum w:abstractNumId="57">
    <w:nsid w:val="61574095"/>
    <w:multiLevelType w:val="hybridMultilevel"/>
    <w:lvl w:ilvl="0">
      <w:lvlJc w:val="left"/>
      <w:lvlText w:val="%1."/>
      <w:numFmt w:val="decimal"/>
      <w:start w:val="13"/>
    </w:lvl>
  </w:abstractNum>
  <w:abstractNum w:abstractNumId="58">
    <w:nsid w:val="7E0C57B1"/>
    <w:multiLevelType w:val="hybridMultilevel"/>
    <w:lvl w:ilvl="0">
      <w:lvlJc w:val="left"/>
      <w:lvlText w:val="%1."/>
      <w:numFmt w:val="decimal"/>
      <w:start w:val="16"/>
    </w:lvl>
  </w:abstractNum>
  <w:abstractNum w:abstractNumId="59">
    <w:nsid w:val="77AE35EB"/>
    <w:multiLevelType w:val="hybridMultilevel"/>
    <w:lvl w:ilvl="0">
      <w:lvlJc w:val="left"/>
      <w:lvlText w:val="%1."/>
      <w:numFmt w:val="decimal"/>
      <w:start w:val="17"/>
    </w:lvl>
  </w:abstractNum>
  <w:abstractNum w:abstractNumId="60">
    <w:nsid w:val="579BE4F1"/>
    <w:multiLevelType w:val="hybridMultilevel"/>
    <w:lvl w:ilvl="0">
      <w:lvlJc w:val="left"/>
      <w:lvlText w:val="(%1)"/>
      <w:numFmt w:val="lowerRoman"/>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93" Type="http://schemas.openxmlformats.org/officeDocument/2006/relationships/image" Target="media/image70.png"/><Relationship Id="rId104" Type="http://schemas.openxmlformats.org/officeDocument/2006/relationships/image" Target="media/image71.png"/><Relationship Id="rId105" Type="http://schemas.openxmlformats.org/officeDocument/2006/relationships/image" Target="media/image72.png"/><Relationship Id="rId106" Type="http://schemas.openxmlformats.org/officeDocument/2006/relationships/image" Target="media/image73.png"/><Relationship Id="rId107" Type="http://schemas.openxmlformats.org/officeDocument/2006/relationships/image" Target="media/image74.png"/><Relationship Id="rId108" Type="http://schemas.openxmlformats.org/officeDocument/2006/relationships/image" Target="media/image75.png"/><Relationship Id="rId109" Type="http://schemas.openxmlformats.org/officeDocument/2006/relationships/image" Target="media/image76.png"/><Relationship Id="rId110" Type="http://schemas.openxmlformats.org/officeDocument/2006/relationships/image" Target="media/image77.png"/><Relationship Id="rId111" Type="http://schemas.openxmlformats.org/officeDocument/2006/relationships/image" Target="media/image78.png"/><Relationship Id="rId112" Type="http://schemas.openxmlformats.org/officeDocument/2006/relationships/image" Target="media/image79.png"/><Relationship Id="rId113" Type="http://schemas.openxmlformats.org/officeDocument/2006/relationships/image" Target="media/image80.png"/><Relationship Id="rId114" Type="http://schemas.openxmlformats.org/officeDocument/2006/relationships/image" Target="media/image81.png"/><Relationship Id="rId115" Type="http://schemas.openxmlformats.org/officeDocument/2006/relationships/image" Target="media/image82.png"/><Relationship Id="rId116" Type="http://schemas.openxmlformats.org/officeDocument/2006/relationships/image" Target="media/image83.png"/><Relationship Id="rId117" Type="http://schemas.openxmlformats.org/officeDocument/2006/relationships/image" Target="media/image84.png"/><Relationship Id="rId118" Type="http://schemas.openxmlformats.org/officeDocument/2006/relationships/image" Target="media/image85.png"/><Relationship Id="rId119" Type="http://schemas.openxmlformats.org/officeDocument/2006/relationships/image" Target="media/image86.png"/><Relationship Id="rId120" Type="http://schemas.openxmlformats.org/officeDocument/2006/relationships/image" Target="media/image87.png"/><Relationship Id="rId121" Type="http://schemas.openxmlformats.org/officeDocument/2006/relationships/image" Target="media/image88.png"/><Relationship Id="rId122" Type="http://schemas.openxmlformats.org/officeDocument/2006/relationships/image" Target="media/image89.png"/><Relationship Id="rId123" Type="http://schemas.openxmlformats.org/officeDocument/2006/relationships/image" Target="media/image90.png"/><Relationship Id="rId124" Type="http://schemas.openxmlformats.org/officeDocument/2006/relationships/image" Target="media/image91.png"/><Relationship Id="rId125" Type="http://schemas.openxmlformats.org/officeDocument/2006/relationships/image" Target="media/image92.png"/><Relationship Id="rId126" Type="http://schemas.openxmlformats.org/officeDocument/2006/relationships/image" Target="media/image93.png"/><Relationship Id="rId127" Type="http://schemas.openxmlformats.org/officeDocument/2006/relationships/image" Target="media/image94.png"/><Relationship Id="rId128" Type="http://schemas.openxmlformats.org/officeDocument/2006/relationships/image" Target="media/image95.png"/><Relationship Id="rId129" Type="http://schemas.openxmlformats.org/officeDocument/2006/relationships/image" Target="media/image96.png"/><Relationship Id="rId130" Type="http://schemas.openxmlformats.org/officeDocument/2006/relationships/image" Target="media/image97.png"/><Relationship Id="rId131" Type="http://schemas.openxmlformats.org/officeDocument/2006/relationships/image" Target="media/image98.png"/><Relationship Id="rId132" Type="http://schemas.openxmlformats.org/officeDocument/2006/relationships/image" Target="media/image99.png"/><Relationship Id="rId133" Type="http://schemas.openxmlformats.org/officeDocument/2006/relationships/image" Target="media/image100.png"/><Relationship Id="rId134" Type="http://schemas.openxmlformats.org/officeDocument/2006/relationships/image" Target="media/image101.png"/><Relationship Id="rId135" Type="http://schemas.openxmlformats.org/officeDocument/2006/relationships/image" Target="media/image102.png"/><Relationship Id="rId136" Type="http://schemas.openxmlformats.org/officeDocument/2006/relationships/image" Target="media/image103.png"/><Relationship Id="rId137" Type="http://schemas.openxmlformats.org/officeDocument/2006/relationships/image" Target="media/image104.png"/><Relationship Id="rId138" Type="http://schemas.openxmlformats.org/officeDocument/2006/relationships/image" Target="media/image105.png"/><Relationship Id="rId139" Type="http://schemas.openxmlformats.org/officeDocument/2006/relationships/image" Target="media/image106.png"/><Relationship Id="rId140" Type="http://schemas.openxmlformats.org/officeDocument/2006/relationships/image" Target="media/image107.png"/><Relationship Id="rId141" Type="http://schemas.openxmlformats.org/officeDocument/2006/relationships/image" Target="media/image108.png"/><Relationship Id="rId142" Type="http://schemas.openxmlformats.org/officeDocument/2006/relationships/image" Target="media/image109.png"/><Relationship Id="rId143" Type="http://schemas.openxmlformats.org/officeDocument/2006/relationships/image" Target="media/image110.png"/><Relationship Id="rId144" Type="http://schemas.openxmlformats.org/officeDocument/2006/relationships/image" Target="media/image111.png"/><Relationship Id="rId145" Type="http://schemas.openxmlformats.org/officeDocument/2006/relationships/image" Target="media/image112.png"/><Relationship Id="rId146" Type="http://schemas.openxmlformats.org/officeDocument/2006/relationships/image" Target="media/image113.png"/><Relationship Id="rId147" Type="http://schemas.openxmlformats.org/officeDocument/2006/relationships/image" Target="media/image114.png"/><Relationship Id="rId148"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77" Type="http://schemas.openxmlformats.org/officeDocument/2006/relationships/hyperlink" Target="http://www.sec.gov/Archives/edgar/data/1069258/000106925818000021/ktos20180401ex-22.htm" TargetMode="External"/><Relationship Id="rId78" Type="http://schemas.openxmlformats.org/officeDocument/2006/relationships/hyperlink" Target="http://www.sec.gov/Archives/edgar/data/1069258/000106925819000017/exhibit23redacted.htm" TargetMode="External"/><Relationship Id="rId79" Type="http://schemas.openxmlformats.org/officeDocument/2006/relationships/hyperlink" Target="http://www.sec.gov/Archives/edgar/data/1069258/000106925817000009/ktos20161225ex-31.htm" TargetMode="External"/><Relationship Id="rId80" Type="http://schemas.openxmlformats.org/officeDocument/2006/relationships/hyperlink" Target="http://www.sec.gov/Archives/edgar/data/1069258/000106925817000009/ktos20161225ex-32.htm" TargetMode="External"/><Relationship Id="rId81" Type="http://schemas.openxmlformats.org/officeDocument/2006/relationships/hyperlink" Target="http://www.sec.gov/Archives/edgar/data/1069258/000106925817000009/kratoscommonformofcertif.htm" TargetMode="External"/><Relationship Id="rId82" Type="http://schemas.openxmlformats.org/officeDocument/2006/relationships/hyperlink" Target="http://www.sec.gov/Archives/edgar/data/1069258/000110465917069690/a17-27375_1ex4d1.htm" TargetMode="External"/><Relationship Id="rId83" Type="http://schemas.openxmlformats.org/officeDocument/2006/relationships/hyperlink" Target="http://www.sec.gov/Archives/edgar/data/1069258/000106925818000006/ktos20171231ex-45.htm" TargetMode="External"/><Relationship Id="rId84" Type="http://schemas.openxmlformats.org/officeDocument/2006/relationships/hyperlink" Target="http://www.sec.gov/Archives/edgar/data/1069258/000106925820000006/ktos20191229ex-44.htm" TargetMode="External"/><Relationship Id="rId85" Type="http://schemas.openxmlformats.org/officeDocument/2006/relationships/hyperlink" Target="http://www.sec.gov/Archives/edgar/data/1069258/000110465911043760/a11-14022_1ex10d8.htm" TargetMode="External"/><Relationship Id="rId86" Type="http://schemas.openxmlformats.org/officeDocument/2006/relationships/hyperlink" Target="http://www.sec.gov/Archives/edgar/data/1069258/000106925817000033/exhibit9911999espp.htm" TargetMode="External"/><Relationship Id="rId87" Type="http://schemas.openxmlformats.org/officeDocument/2006/relationships/hyperlink" Target="http://www.sec.gov/Archives/edgar/data/1069258/000110465905035184/a05-12199_1ex99d2.htm" TargetMode="External"/><Relationship Id="rId88" Type="http://schemas.openxmlformats.org/officeDocument/2006/relationships/hyperlink" Target="http://www.sec.gov/Archives/edgar/data/1069258/000110465905035184/a05-12199_1ex99d1.htm" TargetMode="External"/><Relationship Id="rId89" Type="http://schemas.openxmlformats.org/officeDocument/2006/relationships/hyperlink" Target="http://www.sec.gov/Archives/edgar/data/1069258/000110465907002926/a07-2027_1ex99d3.htm" TargetMode="External"/><Relationship Id="rId90" Type="http://schemas.openxmlformats.org/officeDocument/2006/relationships/hyperlink" Target="http://www.sec.gov/Archives/edgar/data/1069258/000104746911003699/a2203337zdef14a.htm" TargetMode="External"/><Relationship Id="rId91" Type="http://schemas.openxmlformats.org/officeDocument/2006/relationships/hyperlink" Target="http://www.sec.gov/Archives/edgar/data/1069258/000106925811000053/form8k1stamendto726credagrmt.htm" TargetMode="External"/><Relationship Id="rId92" Type="http://schemas.openxmlformats.org/officeDocument/2006/relationships/hyperlink" Target="http://www.sec.gov/Archives/edgar/data/1069258/000106925820000025/exhibit1012014equityin.htm" TargetMode="External"/><Relationship Id="rId94" Type="http://schemas.openxmlformats.org/officeDocument/2006/relationships/hyperlink" Target="http://www.sec.gov/Archives/edgar/data/1069258/000106925820000006/ktos20191229ex-1015.htm" TargetMode="External"/><Relationship Id="rId95" Type="http://schemas.openxmlformats.org/officeDocument/2006/relationships/hyperlink" Target="http://www.sec.gov/Archives/edgar/data/1069258/000110465911043760/a11-14022_1ex10d3.htm" TargetMode="External"/><Relationship Id="rId96" Type="http://schemas.openxmlformats.org/officeDocument/2006/relationships/hyperlink" Target="http://www.sec.gov/Archives/edgar/data/1069258/000110465911043760/a11-14022_1ex10d4.htm" TargetMode="External"/><Relationship Id="rId97" Type="http://schemas.openxmlformats.org/officeDocument/2006/relationships/hyperlink" Target="http://www.sec.gov/Archives/edgar/data/1069258/000110465917069690/a17-27375_1ex10d1.htm" TargetMode="External"/><Relationship Id="rId98" Type="http://schemas.openxmlformats.org/officeDocument/2006/relationships/hyperlink" Target="http://www.sec.gov/Archives/edgar/data/1069258/000106925818000025/ktos201806118kexhibit101.htm" TargetMode="External"/><Relationship Id="rId99" Type="http://schemas.openxmlformats.org/officeDocument/2006/relationships/hyperlink" Target="http://www.sec.gov/Archives/edgar/data/1069258/000106925817000015/ktos20170326ex-102.htm" TargetMode="External"/><Relationship Id="rId100" Type="http://schemas.openxmlformats.org/officeDocument/2006/relationships/hyperlink" Target="http://www.sec.gov/Archives/edgar/data/1069258/000162828019002271/ktos20181230ex1034.htm" TargetMode="External"/><Relationship Id="rId101" Type="http://schemas.openxmlformats.org/officeDocument/2006/relationships/hyperlink" Target="http://www.sec.gov/Archives/edgar/data/1069258/000106925819000017/exchangeagreement.htm" TargetMode="External"/><Relationship Id="rId102" Type="http://schemas.openxmlformats.org/officeDocument/2006/relationships/hyperlink" Target="http://www.sec.gov/Archives/edgar/data/1069258/000106925819000028/ktos20190630ex101.htm" TargetMode="External"/><Relationship Id="rId103" Type="http://schemas.openxmlformats.org/officeDocument/2006/relationships/hyperlink" Target="http://www.sec.gov/Archives/edgar/data/1069258/000106925820000018/ktos20200329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2021-02-25T15:51:06Z</dcterms:created>
  <dcterms:modified xsi:type="dcterms:W3CDTF">2021-02-25T15:51:06Z</dcterms:modified>
</cp:coreProperties>
</file>