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27, 2009</w:t>
      </w:r>
    </w:p>
    <w:p>
      <w:pPr>
        <w:spacing w:after="0" w:line="239" w:lineRule="exact"/>
        <w:rPr>
          <w:sz w:val="24"/>
          <w:szCs w:val="24"/>
          <w:color w:val="auto"/>
        </w:rPr>
      </w:pPr>
    </w:p>
    <w:p>
      <w:pPr>
        <w:ind w:left="1140" w:right="4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20"/>
        <w:spacing w:after="0"/>
        <w:rPr>
          <w:sz w:val="20"/>
          <w:szCs w:val="20"/>
          <w:color w:val="auto"/>
        </w:rPr>
      </w:pPr>
      <w:r>
        <w:rPr>
          <w:rFonts w:ascii="Arial" w:cs="Arial" w:eastAsia="Arial" w:hAnsi="Arial"/>
          <w:sz w:val="12"/>
          <w:szCs w:val="12"/>
          <w:color w:val="auto"/>
        </w:rPr>
        <w:t>(Do not check if a smaller</w:t>
      </w:r>
    </w:p>
    <w:p>
      <w:pPr>
        <w:jc w:val="center"/>
        <w:ind w:left="182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360"/>
          </w:cols>
          <w:pgMar w:left="240" w:top="685" w:right="299" w:bottom="1440" w:gutter="0" w:footer="0" w:header="0"/>
          <w:type w:val="continuous"/>
        </w:sectPr>
      </w:pPr>
    </w:p>
    <w:p>
      <w:pPr>
        <w:spacing w:after="0" w:line="162"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26, 2009 15,772,969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27, 2009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540" w:type="dxa"/>
            <w:vAlign w:val="bottom"/>
            <w:gridSpan w:val="5"/>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Borders>
              <w:bottom w:val="single" w:sz="8" w:color="0000EE"/>
            </w:tcBorders>
            <w:gridSpan w:val="8"/>
            <w:vMerge w:val="continue"/>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Balance Sheets at December 28, 2008 and September 27, 2009 (unaudited)</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28, 2008</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September 27, 2009 (unaudited)</w:t>
              </w:r>
            </w:hyperlink>
          </w:p>
        </w:tc>
        <w:tc>
          <w:tcPr>
            <w:tcW w:w="1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Nine Months Ended September 28, 2008 and</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27, 2009 (unaudited)</w:t>
              </w:r>
            </w:hyperlink>
          </w:p>
        </w:tc>
        <w:tc>
          <w:tcPr>
            <w:tcW w:w="5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60" w:type="dxa"/>
            <w:vAlign w:val="bottom"/>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160" w:type="dxa"/>
            <w:vAlign w:val="bottom"/>
            <w:gridSpan w:val="7"/>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792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792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92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80" w:type="dxa"/>
            <w:vAlign w:val="bottom"/>
            <w:gridSpan w:val="12"/>
          </w:tcPr>
          <w:p>
            <w:pPr>
              <w:jc w:val="center"/>
              <w:ind w:right="258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254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2700" w:type="dxa"/>
            <w:vAlign w:val="bottom"/>
            <w:tcBorders>
              <w:top w:val="single" w:sz="8" w:color="0000EE"/>
            </w:tcBorders>
            <w:gridSpan w:val="5"/>
          </w:tcPr>
          <w:p>
            <w:pPr>
              <w:spacing w:after="0"/>
              <w:rPr>
                <w:sz w:val="24"/>
                <w:szCs w:val="24"/>
                <w:color w:val="auto"/>
              </w:rPr>
            </w:pPr>
          </w:p>
        </w:tc>
        <w:tc>
          <w:tcPr>
            <w:tcW w:w="2680" w:type="dxa"/>
            <w:vAlign w:val="bottom"/>
            <w:gridSpan w:val="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w:t>
              </w:r>
            </w:hyperlink>
          </w:p>
        </w:tc>
        <w:tc>
          <w:tcPr>
            <w:tcW w:w="79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Defaults Upon Senior Securities</w:t>
              </w:r>
            </w:hyperlink>
          </w:p>
        </w:tc>
        <w:tc>
          <w:tcPr>
            <w:tcW w:w="34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4.</w:t>
              </w:r>
            </w:hyperlink>
          </w:p>
        </w:tc>
        <w:tc>
          <w:tcPr>
            <w:tcW w:w="79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Submission of Matters to a Vote of Security Holders</w:t>
              </w:r>
            </w:hyperlink>
          </w:p>
        </w:tc>
        <w:tc>
          <w:tcPr>
            <w:tcW w:w="34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8"/>
            <w:shd w:val="clear" w:color="auto" w:fill="0000EE"/>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5.</w:t>
              </w:r>
            </w:hyperlink>
          </w:p>
        </w:tc>
        <w:tc>
          <w:tcPr>
            <w:tcW w:w="79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34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6.</w:t>
              </w:r>
            </w:hyperlink>
          </w:p>
        </w:tc>
        <w:tc>
          <w:tcPr>
            <w:tcW w:w="792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3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640" w:type="dxa"/>
            <w:vAlign w:val="bottom"/>
            <w:gridSpan w:val="11"/>
          </w:tcPr>
          <w:p>
            <w:pPr>
              <w:jc w:val="right"/>
              <w:ind w:right="50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intangibles,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Preferred stock, 5,000,000 shares authorized Series B Convertible Preferred Stock, $.001 par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value, 10,000 shares outstanding at December 28, 2008 and September 27, 2009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(liquidation preference $5.0 million at September 27, 2009)</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w w:val="90"/>
              </w:rPr>
              <w:t>Common stock, $.001 par value, 195,000,000 shares authorized; 12,816,963 and 15,627,031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w w:val="88"/>
              </w:rPr>
              <w:t>shares issued and outstanding at December 28, 2008 and September 27, 2009, respectively</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8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Recovery of unauthorized issuance of stock options, stock</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option investigation and related fees and settlement of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litigation</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Impairment of assets and adjustments to the liability for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unused office space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5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from continuing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income (loss) per common share: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0.17</w:t>
            </w:r>
          </w:p>
        </w:tc>
        <w:tc>
          <w:tcPr>
            <w:tcW w:w="10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common share:</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income (loss) per common share: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0.17</w:t>
            </w:r>
          </w:p>
        </w:tc>
        <w:tc>
          <w:tcPr>
            <w:tcW w:w="10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common share:</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Nine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Loss from discontinued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Adjustments to reconcile income (loss) from continuing operations to net cash provided by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(used in) operating activities from continuing operations: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Mark to market on swaps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accrual for unused office space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Derivative settlement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net of acquisitions: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Income tax receivable and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restricted 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Repayment under credit facility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subordinated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information as of September 27, 2009, and for the three and nine months ended September 28, 2008 and September 27, 2009 is unaudited. The condensed consolidated balance sheet as of December 28, 2008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condensed consolidated financial statements should be read in conjunction with the consolidated financial statements and the related notes included in the Company's audited annual consolidated financial statements for the year ended December 28, 2008, filed on Form 10-K on March 10, 2009, with the United States Securities and Exchange Commission ("SEC"). Interim operating results are not necessarily indicative of operating results expected in subsequent periods or for the year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Company's fiscal year end is on the last Sunday of the year, with interim fiscal periods ending on the last Sunday of the last month of each calendar quarter. There are 52 calendar weeks in the fiscal years ended December 28, 2008 and December 27,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Use of Estimates</w:t>
      </w:r>
    </w:p>
    <w:p>
      <w:pPr>
        <w:spacing w:after="0" w:line="23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Reverse Stock Split</w:t>
      </w:r>
    </w:p>
    <w:p>
      <w:pPr>
        <w:spacing w:after="0" w:line="231"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On September 10, 2009, the Company completed a 1-for-10 reverse split of its common stock. All common stock, stock options, and warrants to purchase common stock and earnings per share amounts have been retroactively restated as if the reverse stock split occurred at the beginning of the periods presented.</w:t>
      </w:r>
    </w:p>
    <w:p>
      <w:pPr>
        <w:spacing w:after="0" w:line="11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generates almost all of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(SAB 104). SAB 104 generally requires revenue to be deferred until all of the following have occurred: (1) there is a contract in place, (2) delivery has occurred, (3) the price is fixed or determinable, and (4) collectibility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201" w:lineRule="exact"/>
        <w:rPr>
          <w:sz w:val="20"/>
          <w:szCs w:val="20"/>
          <w:color w:val="auto"/>
        </w:rPr>
      </w:pPr>
    </w:p>
    <w:p>
      <w:pPr>
        <w:ind w:right="180" w:firstLine="341"/>
        <w:spacing w:after="0" w:line="309" w:lineRule="auto"/>
        <w:rPr>
          <w:sz w:val="20"/>
          <w:szCs w:val="20"/>
          <w:color w:val="auto"/>
        </w:rPr>
      </w:pPr>
      <w:r>
        <w:rPr>
          <w:rFonts w:ascii="Arial" w:cs="Arial" w:eastAsia="Arial" w:hAnsi="Arial"/>
          <w:sz w:val="15"/>
          <w:szCs w:val="15"/>
          <w:color w:val="auto"/>
        </w:rPr>
        <w:t xml:space="preserve">A portion of the fixed price-completion contracts are within the scope of the Financial Accounting Standards Board Accounting Standards Codification </w:t>
      </w:r>
      <w:r>
        <w:rPr>
          <w:rFonts w:ascii="Arial" w:cs="Arial" w:eastAsia="Arial" w:hAnsi="Arial"/>
          <w:sz w:val="15"/>
          <w:szCs w:val="15"/>
          <w:i w:val="1"/>
          <w:iCs w:val="1"/>
          <w:color w:val="auto"/>
        </w:rPr>
        <w:t>(FASB ASC) Topic 605 Revenue Recognition</w:t>
      </w:r>
      <w:r>
        <w:rPr>
          <w:rFonts w:ascii="Arial" w:cs="Arial" w:eastAsia="Arial" w:hAnsi="Arial"/>
          <w:sz w:val="15"/>
          <w:szCs w:val="15"/>
          <w:color w:val="auto"/>
        </w:rPr>
        <w:t>. For these contracts, revenue is recognized using the percentage-of-completion method based on the ratio of total</w:t>
      </w:r>
      <w:r>
        <w:rPr>
          <w:rFonts w:ascii="Arial" w:cs="Arial" w:eastAsia="Arial" w:hAnsi="Arial"/>
          <w:sz w:val="15"/>
          <w:szCs w:val="15"/>
          <w:i w:val="1"/>
          <w:iCs w:val="1"/>
          <w:color w:val="auto"/>
        </w:rPr>
        <w:t xml:space="preserve"> </w:t>
      </w:r>
      <w:r>
        <w:rPr>
          <w:rFonts w:ascii="Arial" w:cs="Arial" w:eastAsia="Arial" w:hAnsi="Arial"/>
          <w:sz w:val="15"/>
          <w:szCs w:val="15"/>
          <w:color w:val="auto"/>
        </w:rPr>
        <w:t>costs incurred to date compared to estimated total costs to complete the contract. Estimates of costs to complete include material, direct labor, overhead, and allowable general and administrative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will record revenue using the percentage-of-completion method of accounting based on the ratio of total costs incurred to date compared to the estimated total costs to complete the project.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our revenue for any period if management made different judgments or utilized different estimates.</w:t>
      </w:r>
    </w:p>
    <w:p>
      <w:pPr>
        <w:spacing w:after="0" w:line="199"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It is the Company's policy to review any arrangement containing software or software deliverables and services against the criteria contained in </w:t>
      </w:r>
      <w:r>
        <w:rPr>
          <w:rFonts w:ascii="Arial" w:cs="Arial" w:eastAsia="Arial" w:hAnsi="Arial"/>
          <w:sz w:val="15"/>
          <w:szCs w:val="15"/>
          <w:i w:val="1"/>
          <w:iCs w:val="1"/>
          <w:color w:val="auto"/>
        </w:rPr>
        <w:t>FASB ASC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985 Software (Topic 985). </w:t>
      </w:r>
      <w:r>
        <w:rPr>
          <w:rFonts w:ascii="Arial" w:cs="Arial" w:eastAsia="Arial" w:hAnsi="Arial"/>
          <w:sz w:val="15"/>
          <w:szCs w:val="15"/>
          <w:color w:val="auto"/>
        </w:rPr>
        <w:t>Under the provisions of</w:t>
      </w:r>
      <w:r>
        <w:rPr>
          <w:rFonts w:ascii="Arial" w:cs="Arial" w:eastAsia="Arial" w:hAnsi="Arial"/>
          <w:sz w:val="15"/>
          <w:szCs w:val="15"/>
          <w:i w:val="1"/>
          <w:iCs w:val="1"/>
          <w:color w:val="auto"/>
        </w:rPr>
        <w:t xml:space="preserve"> Topic 985 </w:t>
      </w:r>
      <w:r>
        <w:rPr>
          <w:rFonts w:ascii="Arial" w:cs="Arial" w:eastAsia="Arial" w:hAnsi="Arial"/>
          <w:sz w:val="15"/>
          <w:szCs w:val="15"/>
          <w:color w:val="auto"/>
        </w:rPr>
        <w:t>the Company reviews the contract value of software deliverables and services and determines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allocations of the contract value based on Vendor Specific Objective Evidence ("VSOE") or fair value for each of the elements. All software arrangements requiring significant production, modification, or customization of the software are accounted for in conformity with </w:t>
      </w:r>
      <w:r>
        <w:rPr>
          <w:rFonts w:ascii="Arial" w:cs="Arial" w:eastAsia="Arial" w:hAnsi="Arial"/>
          <w:sz w:val="15"/>
          <w:szCs w:val="15"/>
          <w:i w:val="1"/>
          <w:iCs w:val="1"/>
          <w:color w:val="auto"/>
        </w:rPr>
        <w:t>FASB ASC Topic 605 Revenue Recognition</w:t>
      </w:r>
      <w:r>
        <w:rPr>
          <w:rFonts w:ascii="Arial" w:cs="Arial" w:eastAsia="Arial" w:hAnsi="Arial"/>
          <w:sz w:val="15"/>
          <w:szCs w:val="15"/>
          <w:color w:val="auto"/>
        </w:rPr>
        <w:t>.</w:t>
      </w:r>
    </w:p>
    <w:p>
      <w:pPr>
        <w:spacing w:after="0" w:line="15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In these situations, the Company applies the guidance of </w:t>
      </w:r>
      <w:r>
        <w:rPr>
          <w:rFonts w:ascii="Arial" w:cs="Arial" w:eastAsia="Arial" w:hAnsi="Arial"/>
          <w:sz w:val="18"/>
          <w:szCs w:val="18"/>
          <w:i w:val="1"/>
          <w:iCs w:val="1"/>
          <w:color w:val="auto"/>
        </w:rPr>
        <w:t>FASB ASC</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Revenue Recognition</w:t>
      </w:r>
      <w:r>
        <w:rPr>
          <w:rFonts w:ascii="Arial" w:cs="Arial" w:eastAsia="Arial" w:hAnsi="Arial"/>
          <w:sz w:val="18"/>
          <w:szCs w:val="18"/>
          <w:color w:val="auto"/>
        </w:rPr>
        <w:t>. Accordingly, for applicable arrangements, revenue recognition includes the proper identification of separate units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allocation of revenue across all elements based on relative fair values, with proper consideration given to the guidance provided by other authoritative literature.</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Under certain of the Company's contractual arrangements, the Company may also recognize revenue for out-of-pocket expenses in accordance with </w:t>
      </w:r>
      <w:r>
        <w:rPr>
          <w:rFonts w:ascii="Arial" w:cs="Arial" w:eastAsia="Arial" w:hAnsi="Arial"/>
          <w:sz w:val="16"/>
          <w:szCs w:val="16"/>
          <w:i w:val="1"/>
          <w:iCs w:val="1"/>
          <w:color w:val="auto"/>
        </w:rPr>
        <w:t>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ASC Topic 605 Revenue Recognition. </w:t>
      </w:r>
      <w:r>
        <w:rPr>
          <w:rFonts w:ascii="Arial" w:cs="Arial" w:eastAsia="Arial" w:hAnsi="Arial"/>
          <w:sz w:val="16"/>
          <w:szCs w:val="16"/>
          <w:color w:val="auto"/>
        </w:rPr>
        <w:t>Depending on the contractual arrangement, these expenses may be reimbursed with or without a fee.</w:t>
      </w:r>
    </w:p>
    <w:p>
      <w:pPr>
        <w:spacing w:after="0" w:line="13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6"/>
          <w:szCs w:val="16"/>
          <w:i w:val="1"/>
          <w:iCs w:val="1"/>
          <w:color w:val="auto"/>
        </w:rPr>
        <w:t>FASB ASC Topic 605 Revenue Recognition,</w:t>
      </w:r>
      <w:r>
        <w:rPr>
          <w:rFonts w:ascii="Arial" w:cs="Arial" w:eastAsia="Arial" w:hAnsi="Arial"/>
          <w:sz w:val="16"/>
          <w:szCs w:val="16"/>
          <w:color w:val="auto"/>
        </w:rPr>
        <w:t xml:space="preserve"> depending on the specific circumstances of the arrangement. The Company considers the following criteria, among others, for recording revenue on a gross or net basis:</w:t>
      </w:r>
    </w:p>
    <w:p>
      <w:pPr>
        <w:spacing w:after="0" w:line="174"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5680" w:right="2020" w:hanging="5132"/>
        <w:spacing w:after="0" w:line="519" w:lineRule="auto"/>
        <w:tabs>
          <w:tab w:leader="none" w:pos="1098"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 (DCAA).</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28, 2008 and September 27, 2009, approximately $1.1 million and $6.0 million, respectively, of the Company's unbilled accounts receivable balance were under an authorization to proceed or work order from its customers where a formal purchase order had not yet been received.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Restricted Cash</w:t>
      </w:r>
    </w:p>
    <w:p>
      <w:pPr>
        <w:spacing w:after="0" w:line="231"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The Company has restricted cash accounts of approximately $0.4 million as of December 28, 2008, and September 27, 2009, which are required to collateralize a credit card program and a deposit relating to the run out of a now terminated workers compensation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Inventory</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28, 2008 and September 27, 2009, the Company had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 million and $1.8 million of inventories which were reflected in other current assets on the condensed consolidated balance sheets.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currently carries a significant amount of debt and has historically experienced recurring losses and negative cash flows from continuing operations. Given the Company's highly leveraged liquidity position, any down-turn in its operating earnings or cash flows could impair its ability to comply with the financial covenants of its existing credit facility. Its ability to execute on additional business opportunities may be limited due to its existing borrowing capacity. If the Company believed a covenant violation is more than likely to occur in the near future, it would seek relief from its lenders. This relief, if available, would have some cost to the Company and such relief might not be on terms as favorable as those in its existing Credit Agreement. If the Company were to actually default due to its failure to meet the financial covenants of its Credit Agreement and were unable to obtain a waiver from the lenders, the Company's Credit Agreement could require the Company to immediately repay all amounts then outstanding under the Credit Agreement and/or require the Company to pay interest at default rates per the Credit Agreement. 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7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July 1, 2009 the Financial Accounting Standards Board officially launched the Accounting Standards Codification (</w:t>
      </w:r>
      <w:r>
        <w:rPr>
          <w:rFonts w:ascii="Arial" w:cs="Arial" w:eastAsia="Arial" w:hAnsi="Arial"/>
          <w:sz w:val="18"/>
          <w:szCs w:val="18"/>
          <w:i w:val="1"/>
          <w:iCs w:val="1"/>
          <w:color w:val="auto"/>
        </w:rPr>
        <w:t>FASB ASC</w:t>
      </w:r>
      <w:r>
        <w:rPr>
          <w:rFonts w:ascii="Arial" w:cs="Arial" w:eastAsia="Arial" w:hAnsi="Arial"/>
          <w:sz w:val="18"/>
          <w:szCs w:val="18"/>
          <w:color w:val="auto"/>
        </w:rPr>
        <w:t xml:space="preserve">), as the authoritative source of generally accepted accounting principles in the United States. Rules and interpretive releases of the Securities and Exchange Commission (SEC) under federal securities laws are also sources of authoritative GAAP for SEC registrants. </w:t>
      </w:r>
      <w:r>
        <w:rPr>
          <w:rFonts w:ascii="Arial" w:cs="Arial" w:eastAsia="Arial" w:hAnsi="Arial"/>
          <w:sz w:val="18"/>
          <w:szCs w:val="18"/>
          <w:i w:val="1"/>
          <w:iCs w:val="1"/>
          <w:color w:val="auto"/>
        </w:rPr>
        <w:t>FASB ASC Topic 105 Generally Accepted Accounting Principles</w:t>
      </w:r>
      <w:r>
        <w:rPr>
          <w:rFonts w:ascii="Arial" w:cs="Arial" w:eastAsia="Arial" w:hAnsi="Arial"/>
          <w:sz w:val="18"/>
          <w:szCs w:val="18"/>
          <w:color w:val="auto"/>
        </w:rPr>
        <w:t xml:space="preserve"> is effective for financial statements issued for interim and annual periods ending after September 15, 2009. The adoption of this standard had no impact on our consolidated financial position, results of operations or cash flows.</w:t>
      </w:r>
    </w:p>
    <w:p>
      <w:pPr>
        <w:spacing w:after="0" w:line="197" w:lineRule="exact"/>
        <w:rPr>
          <w:sz w:val="20"/>
          <w:szCs w:val="20"/>
          <w:color w:val="auto"/>
        </w:rPr>
      </w:pPr>
    </w:p>
    <w:p>
      <w:pPr>
        <w:ind w:right="520" w:firstLine="351"/>
        <w:spacing w:after="0" w:line="298" w:lineRule="auto"/>
        <w:rPr>
          <w:sz w:val="20"/>
          <w:szCs w:val="20"/>
          <w:color w:val="auto"/>
        </w:rPr>
      </w:pPr>
      <w:r>
        <w:rPr>
          <w:rFonts w:ascii="Arial" w:cs="Arial" w:eastAsia="Arial" w:hAnsi="Arial"/>
          <w:sz w:val="16"/>
          <w:szCs w:val="16"/>
          <w:color w:val="auto"/>
        </w:rPr>
        <w:t xml:space="preserve">In August 2009, the SEC issued </w:t>
      </w:r>
      <w:r>
        <w:rPr>
          <w:rFonts w:ascii="Arial" w:cs="Arial" w:eastAsia="Arial" w:hAnsi="Arial"/>
          <w:sz w:val="16"/>
          <w:szCs w:val="16"/>
          <w:i w:val="1"/>
          <w:iCs w:val="1"/>
          <w:color w:val="auto"/>
        </w:rPr>
        <w:t>Interpretive Release No. 33-9062, "Commission Guidance Regarding the Financial Accounting Standards Board's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w:t>
      </w:r>
      <w:r>
        <w:rPr>
          <w:rFonts w:ascii="Arial" w:cs="Arial" w:eastAsia="Arial" w:hAnsi="Arial"/>
          <w:sz w:val="16"/>
          <w:szCs w:val="16"/>
          <w:color w:val="auto"/>
        </w:rPr>
        <w:t>regarding the impact of the</w:t>
      </w:r>
      <w:r>
        <w:rPr>
          <w:rFonts w:ascii="Arial" w:cs="Arial" w:eastAsia="Arial" w:hAnsi="Arial"/>
          <w:sz w:val="16"/>
          <w:szCs w:val="16"/>
          <w:i w:val="1"/>
          <w:iCs w:val="1"/>
          <w:color w:val="auto"/>
        </w:rPr>
        <w:t xml:space="preserve"> FASB ASC </w:t>
      </w:r>
      <w:r>
        <w:rPr>
          <w:rFonts w:ascii="Arial" w:cs="Arial" w:eastAsia="Arial" w:hAnsi="Arial"/>
          <w:sz w:val="16"/>
          <w:szCs w:val="16"/>
          <w:color w:val="auto"/>
        </w:rPr>
        <w:t>on certain SEC rules, regulations, and interpretive releases and staff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bulletins. The SEC advised that references to FASB standards in current SEC text should correspond to the rules in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does not supersede any SEC rules or regulations.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should not be considered the authoritative source for SEC guidance.</w:t>
      </w:r>
    </w:p>
    <w:p>
      <w:pPr>
        <w:spacing w:after="0" w:line="167"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 xml:space="preserve">The disclosure requirements of </w:t>
      </w:r>
      <w:r>
        <w:rPr>
          <w:rFonts w:ascii="Arial" w:cs="Arial" w:eastAsia="Arial" w:hAnsi="Arial"/>
          <w:sz w:val="18"/>
          <w:szCs w:val="18"/>
          <w:i w:val="1"/>
          <w:iCs w:val="1"/>
          <w:color w:val="auto"/>
        </w:rPr>
        <w:t>FASB ASC Topic 820 Fair Value Measurements and Disclosures (Topic 820),</w:t>
      </w:r>
      <w:r>
        <w:rPr>
          <w:rFonts w:ascii="Arial" w:cs="Arial" w:eastAsia="Arial" w:hAnsi="Arial"/>
          <w:sz w:val="18"/>
          <w:szCs w:val="18"/>
          <w:color w:val="auto"/>
        </w:rPr>
        <w:t xml:space="preserve"> which took effect on January 1, 2008, are presented in Note 9. On January 1, 2009, the Company implemented the previously deferred provisions of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for nonfinancial assets and liabilities recorded at fair value, as required.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815 Derivatives and Hedging,</w:t>
      </w:r>
      <w:r>
        <w:rPr>
          <w:rFonts w:ascii="Arial" w:cs="Arial" w:eastAsia="Arial" w:hAnsi="Arial"/>
          <w:sz w:val="16"/>
          <w:szCs w:val="16"/>
          <w:color w:val="auto"/>
        </w:rPr>
        <w:t xml:space="preserve"> which took effect on January 1, 2009, are presented in Note 10.</w:t>
      </w: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 xml:space="preserve">The accounting requirements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which took effect on January 1, 2009, were adopted but had no impact on the Company's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accounting and presentation requirements of </w:t>
      </w:r>
      <w:r>
        <w:rPr>
          <w:rFonts w:ascii="Arial" w:cs="Arial" w:eastAsia="Arial" w:hAnsi="Arial"/>
          <w:sz w:val="18"/>
          <w:szCs w:val="18"/>
          <w:i w:val="1"/>
          <w:iCs w:val="1"/>
          <w:color w:val="auto"/>
        </w:rPr>
        <w:t>FASB ASC Topic 810 Consolidation</w:t>
      </w:r>
      <w:r>
        <w:rPr>
          <w:rFonts w:ascii="Arial" w:cs="Arial" w:eastAsia="Arial" w:hAnsi="Arial"/>
          <w:sz w:val="18"/>
          <w:szCs w:val="18"/>
          <w:color w:val="auto"/>
        </w:rPr>
        <w:t>, which took effect on January 1, 2009, had no impact on the financial statements as the Company's non-controlling interests are not material.</w:t>
      </w:r>
    </w:p>
    <w:p>
      <w:pPr>
        <w:spacing w:after="0" w:line="186"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855 Subsequent Events (Topic 855),</w:t>
      </w:r>
      <w:r>
        <w:rPr>
          <w:rFonts w:ascii="Arial" w:cs="Arial" w:eastAsia="Arial" w:hAnsi="Arial"/>
          <w:sz w:val="16"/>
          <w:szCs w:val="16"/>
          <w:color w:val="auto"/>
        </w:rPr>
        <w:t xml:space="preserve"> which took effect on June 15, 2009, requiring disclosure of the date through which subsequent events have been evaluated. The Company has adopted </w:t>
      </w:r>
      <w:r>
        <w:rPr>
          <w:rFonts w:ascii="Arial" w:cs="Arial" w:eastAsia="Arial" w:hAnsi="Arial"/>
          <w:sz w:val="16"/>
          <w:szCs w:val="16"/>
          <w:i w:val="1"/>
          <w:iCs w:val="1"/>
          <w:color w:val="auto"/>
        </w:rPr>
        <w:t>Topic 855</w:t>
      </w:r>
      <w:r>
        <w:rPr>
          <w:rFonts w:ascii="Arial" w:cs="Arial" w:eastAsia="Arial" w:hAnsi="Arial"/>
          <w:sz w:val="16"/>
          <w:szCs w:val="16"/>
          <w:color w:val="auto"/>
        </w:rPr>
        <w:t xml:space="preserve"> and considers its' financial statements issued as of the date of filing with the Securities and Exchange Commission (SEC) and as such, evaluates subsequent events up to and including the date of filing with the SEC.</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 xml:space="preserve">As of September 27, 2009, the Company implemented </w:t>
      </w:r>
      <w:r>
        <w:rPr>
          <w:rFonts w:ascii="Arial" w:cs="Arial" w:eastAsia="Arial" w:hAnsi="Arial"/>
          <w:sz w:val="16"/>
          <w:szCs w:val="16"/>
          <w:i w:val="1"/>
          <w:iCs w:val="1"/>
          <w:color w:val="auto"/>
        </w:rPr>
        <w:t>FASB ASC Topic 825 Financial Instruments (Topic 825). Topic 825</w:t>
      </w:r>
      <w:r>
        <w:rPr>
          <w:rFonts w:ascii="Arial" w:cs="Arial" w:eastAsia="Arial" w:hAnsi="Arial"/>
          <w:sz w:val="16"/>
          <w:szCs w:val="16"/>
          <w:color w:val="auto"/>
        </w:rPr>
        <w:t xml:space="preserve"> amends previous accounting literature to require disclosures about fair value of financial instruments in interim as well as in annual financial statements. The amendment changes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Topic 270 Interim Reporting</w:t>
      </w:r>
      <w:r>
        <w:rPr>
          <w:rFonts w:ascii="Arial" w:cs="Arial" w:eastAsia="Arial" w:hAnsi="Arial"/>
          <w:sz w:val="16"/>
          <w:szCs w:val="16"/>
          <w:color w:val="auto"/>
        </w:rPr>
        <w:t>, to require those disclosures in all interim financial statements.</w:t>
      </w:r>
      <w:r>
        <w:rPr>
          <w:rFonts w:ascii="Arial" w:cs="Arial" w:eastAsia="Arial" w:hAnsi="Arial"/>
          <w:sz w:val="16"/>
          <w:szCs w:val="16"/>
          <w:i w:val="1"/>
          <w:iCs w:val="1"/>
          <w:color w:val="auto"/>
        </w:rPr>
        <w:t xml:space="preserve"> Topic 825 </w:t>
      </w:r>
      <w:r>
        <w:rPr>
          <w:rFonts w:ascii="Arial" w:cs="Arial" w:eastAsia="Arial" w:hAnsi="Arial"/>
          <w:sz w:val="16"/>
          <w:szCs w:val="16"/>
          <w:color w:val="auto"/>
        </w:rPr>
        <w:t>is effective for periods ending after June 15, 2009.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second quarter of 2009, the Company implemented </w:t>
      </w:r>
      <w:r>
        <w:rPr>
          <w:rFonts w:ascii="Arial" w:cs="Arial" w:eastAsia="Arial" w:hAnsi="Arial"/>
          <w:sz w:val="16"/>
          <w:szCs w:val="16"/>
          <w:i w:val="1"/>
          <w:iCs w:val="1"/>
          <w:color w:val="auto"/>
        </w:rPr>
        <w:t>Topic 825</w:t>
      </w:r>
      <w:r>
        <w:rPr>
          <w:rFonts w:ascii="Arial" w:cs="Arial" w:eastAsia="Arial" w:hAnsi="Arial"/>
          <w:sz w:val="16"/>
          <w:szCs w:val="16"/>
          <w:color w:val="auto"/>
        </w:rPr>
        <w:t xml:space="preserve"> and </w:t>
      </w:r>
      <w:r>
        <w:rPr>
          <w:rFonts w:ascii="Arial" w:cs="Arial" w:eastAsia="Arial" w:hAnsi="Arial"/>
          <w:sz w:val="16"/>
          <w:szCs w:val="16"/>
          <w:i w:val="1"/>
          <w:iCs w:val="1"/>
          <w:color w:val="auto"/>
        </w:rPr>
        <w:t>Topic 270</w:t>
      </w:r>
      <w:r>
        <w:rPr>
          <w:rFonts w:ascii="Arial" w:cs="Arial" w:eastAsia="Arial" w:hAnsi="Arial"/>
          <w:sz w:val="16"/>
          <w:szCs w:val="16"/>
          <w:color w:val="auto"/>
        </w:rPr>
        <w:t>. See Note 9,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Issued But Not yet Effective</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Other new pronouncements issued but not effective until after September 27, 2009, are not expected to have a significant effect on the company's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FASB ASC Topic 350 Intangibles—Goodwill and Other</w:t>
      </w:r>
      <w:r>
        <w:rPr>
          <w:rFonts w:ascii="Arial" w:cs="Arial" w:eastAsia="Arial" w:hAnsi="Arial"/>
          <w:sz w:val="18"/>
          <w:szCs w:val="18"/>
          <w:color w:val="auto"/>
        </w:rPr>
        <w:t xml:space="preserve"> as of the last day of the fiscal year or when evidence of potential impairment exists.</w:t>
      </w:r>
    </w:p>
    <w:p>
      <w:pPr>
        <w:spacing w:after="0" w:line="186"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December 28, 2008 annual impairment assessment and the interim test as of February 28, 2009, the Company identified its reporting units to be its operating segments which are Government Solutions and Public Safety and Security.</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6"/>
          <w:szCs w:val="16"/>
          <w:i w:val="1"/>
          <w:iCs w:val="1"/>
          <w:color w:val="auto"/>
        </w:rPr>
        <w:t>FASB 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820 Fair Value Measurements and Disclosure</w:t>
      </w:r>
      <w:r>
        <w:rPr>
          <w:rFonts w:ascii="Arial" w:cs="Arial" w:eastAsia="Arial" w:hAnsi="Arial"/>
          <w:sz w:val="16"/>
          <w:szCs w:val="16"/>
          <w:color w:val="auto"/>
        </w:rPr>
        <w:t>). The Company also considers its market capitalization based upon an average of the stock price prior to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the date the analysis is performed and reconciles the fair value of the Company's reporting units to the</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 xml:space="preserve">Company's market capitalization assuming a control premium. If the book value exceeds the estimated fair value for a business, a potential impairment is indicated and </w:t>
      </w:r>
      <w:r>
        <w:rPr>
          <w:rFonts w:ascii="Arial" w:cs="Arial" w:eastAsia="Arial" w:hAnsi="Arial"/>
          <w:sz w:val="16"/>
          <w:szCs w:val="16"/>
          <w:i w:val="1"/>
          <w:iCs w:val="1"/>
          <w:color w:val="auto"/>
        </w:rPr>
        <w:t>FASB ASC Topic 350 Intangibles—Goodwill and Other</w:t>
      </w:r>
      <w:r>
        <w:rPr>
          <w:rFonts w:ascii="Arial" w:cs="Arial" w:eastAsia="Arial" w:hAnsi="Arial"/>
          <w:sz w:val="16"/>
          <w:szCs w:val="16"/>
          <w:color w:val="auto"/>
        </w:rPr>
        <w:t>, prescribes the approach for determining the impairment amount, if any.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Given the continued significant decline in the stock market in general and specifically the Company's stock price and market capitalization in 2009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declined 39% from an average stock price of $12.90 as of December 28, 2008 to $7.80 as of February 28, 2009, the Company performed an impairment test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goodwill in accordance with </w:t>
      </w:r>
      <w:r>
        <w:rPr>
          <w:rFonts w:ascii="Arial" w:cs="Arial" w:eastAsia="Arial" w:hAnsi="Arial"/>
          <w:sz w:val="16"/>
          <w:szCs w:val="16"/>
          <w:i w:val="1"/>
          <w:iCs w:val="1"/>
          <w:color w:val="auto"/>
        </w:rPr>
        <w:t>FASB ASC Topic 350 Intangibles—Goodwill and Other</w:t>
      </w:r>
      <w:r>
        <w:rPr>
          <w:rFonts w:ascii="Arial" w:cs="Arial" w:eastAsia="Arial" w:hAnsi="Arial"/>
          <w:sz w:val="16"/>
          <w:szCs w:val="16"/>
          <w:color w:val="auto"/>
        </w:rPr>
        <w:t xml:space="preserve"> as of February 28, 2009. The test indicated that the book value for the Kratos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Solutions (KGS) segment exceeded the fair values of these businesses and resulted in the Company recording a charge totaling $41.3 million 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KGS segment in the first quarter of 2009, for the impairment of goodwill. The impairment charge was primarily driven by adverse equity market conditions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caused a decrease in current market multiples and the Company's average stock price as of February 28, 2009, compared with the test performed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28, 2008. The Company's forecasts of growth rates and operating margins had not changed as of February 28, 2009 as compared to the forecasts which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were used as of December 28, 2008. The Company reconciles the fair value of its reporting units which is calculated using the income approach to the Company's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market capitalization. As a result of this reconciliation, it was noted that investors were requiring a higher rate of return, and therefore, the discount factor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based upon an estimated market participant weighted average cost of capital (WACC) increased 300 basis points from 14% in the Company's year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test in 2008 as compared to 17% in the Company's 2009 first quarter interim impairment test. This change was the key factor contributing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$41.3 million goodwill impairment charge that was recorded in the first quarter of 2009.</w:t>
      </w:r>
    </w:p>
    <w:p>
      <w:pPr>
        <w:spacing w:after="0" w:line="21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 xml:space="preserve">The Company will continue to evaluate whether a triggering event under </w:t>
      </w:r>
      <w:r>
        <w:rPr>
          <w:rFonts w:ascii="Arial" w:cs="Arial" w:eastAsia="Arial" w:hAnsi="Arial"/>
          <w:sz w:val="18"/>
          <w:szCs w:val="18"/>
          <w:i w:val="1"/>
          <w:iCs w:val="1"/>
          <w:color w:val="auto"/>
        </w:rPr>
        <w:t>FASB ASC Topic 350 Intangibles—Goodwill and Other, Subtopic 20 Goodwill</w:t>
      </w:r>
      <w:r>
        <w:rPr>
          <w:rFonts w:ascii="Arial" w:cs="Arial" w:eastAsia="Arial" w:hAnsi="Arial"/>
          <w:sz w:val="18"/>
          <w:szCs w:val="18"/>
          <w:color w:val="auto"/>
        </w:rPr>
        <w:t xml:space="preserve"> that could be an indication of additional goodwill impairment occurs. If such a triggering event is identified, the Company will perform additional goodwill impairment tests.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changes in the carrying amounts of goodwill and other finite-life intangible assets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2009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320" w:type="dxa"/>
            <w:vAlign w:val="bottom"/>
            <w:gridSpan w:val="4"/>
          </w:tcPr>
          <w:p>
            <w:pPr>
              <w:jc w:val="center"/>
              <w:ind w:right="2440"/>
              <w:spacing w:after="0"/>
              <w:rPr>
                <w:sz w:val="20"/>
                <w:szCs w:val="20"/>
                <w:color w:val="auto"/>
              </w:rPr>
            </w:pPr>
            <w:r>
              <w:rPr>
                <w:rFonts w:ascii="Arial" w:cs="Arial" w:eastAsia="Arial" w:hAnsi="Arial"/>
                <w:sz w:val="14"/>
                <w:szCs w:val="14"/>
                <w:b w:val="1"/>
                <w:bCs w:val="1"/>
                <w:color w:val="auto"/>
                <w:w w:val="87"/>
              </w:rPr>
              <w:t>Government</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1"/>
              </w:rPr>
              <w:t>Solutions</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Balance as of December 28, 2008</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Purchase accounting adjustments</w:t>
            </w:r>
          </w:p>
        </w:tc>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27, 2009</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900" w:type="dxa"/>
            <w:vAlign w:val="bottom"/>
            <w:vMerge w:val="restart"/>
          </w:tcPr>
          <w:p>
            <w:pPr>
              <w:jc w:val="right"/>
              <w:ind w:right="2212"/>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7"/>
          </w:tcPr>
          <w:p>
            <w:pPr>
              <w:jc w:val="right"/>
              <w:spacing w:after="0"/>
              <w:rPr>
                <w:sz w:val="20"/>
                <w:szCs w:val="20"/>
                <w:color w:val="auto"/>
              </w:rPr>
            </w:pPr>
            <w:r>
              <w:rPr>
                <w:rFonts w:ascii="Arial" w:cs="Arial" w:eastAsia="Arial" w:hAnsi="Arial"/>
                <w:sz w:val="14"/>
                <w:szCs w:val="14"/>
                <w:b w:val="1"/>
                <w:bCs w:val="1"/>
                <w:color w:val="auto"/>
              </w:rPr>
              <w:t>As of December 28, 2008</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8"/>
          </w:tcPr>
          <w:p>
            <w:pPr>
              <w:ind w:left="420"/>
              <w:spacing w:after="0"/>
              <w:rPr>
                <w:sz w:val="20"/>
                <w:szCs w:val="20"/>
                <w:color w:val="auto"/>
              </w:rPr>
            </w:pPr>
            <w:r>
              <w:rPr>
                <w:rFonts w:ascii="Arial" w:cs="Arial" w:eastAsia="Arial" w:hAnsi="Arial"/>
                <w:sz w:val="14"/>
                <w:szCs w:val="14"/>
                <w:b w:val="1"/>
                <w:bCs w:val="1"/>
                <w:color w:val="auto"/>
              </w:rPr>
              <w:t>As of September 27, 2009</w:t>
            </w: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Acquired finite-lived intangible assets</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Non-compete agreements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Consolidated amortization expense related to intangible assets subject to amortization was $1.3 million and $1.5 million for the three months ended September 28, 2008 and September 27, 2009, respectively and $3.5 million and $4.4 million for the nine months ended September 28, 2008 and September 27,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had the following equity incentive plans under which shares were available for grant at September 27, 2009: the 1999 Equity Incentive Plan (the "1999 Plan"), the 2000 Non-Statutory Stock Option Plan (the "2000 Plan") and the 2005 Equity Incentive Plan (the "2005 Plan").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Digital Fusion, Inc. 1998, 1999, 2000, and 2005 Stock Option and Stock Incentive Plans.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the Company's acquisition of Digital Fusion, Inc. (DFI) on December 24, 2008, the Company assumed all outstanding options under DFI's 1998, 1999, 2000, and 2005 Stock Option and Stock Incentive Plans. No further grants will be made under these plans. Award grants that were outstanding under these plans on December 24, 2008 continue to be governed by their terms and may be exercised for shares of the Company's common stock at any time prior to the expiration of the option pursuant to its terms. Stock options granted under these plans included incentive stock options and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granted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certain options outside of its qualified stock option plans. These non-qualified "out of plan" stock options have been assumed by the Company and expire 10 years from the grant date.</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also has a form of Restricted Stock Unit Agreement (the "RSU Agreement") to govern the issuance of restricted stock units ("RSU") to executive officers under the Company's 2005 Plan.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Restricted</w:t>
            </w: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44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61"/>
        </w:trPr>
        <w:tc>
          <w:tcPr>
            <w:tcW w:w="4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December 28,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Grants</w:t>
            </w: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20.41</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Cancellations/Forfeitures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15.15</w:t>
            </w:r>
          </w:p>
        </w:tc>
      </w:tr>
      <w:tr>
        <w:trPr>
          <w:trHeight w:val="21"/>
        </w:trPr>
        <w:tc>
          <w:tcPr>
            <w:tcW w:w="4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September 27,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w:t>
            </w:r>
          </w:p>
        </w:tc>
      </w:tr>
      <w:tr>
        <w:trPr>
          <w:trHeight w:val="27"/>
        </w:trPr>
        <w:tc>
          <w:tcPr>
            <w:tcW w:w="4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The following table shows the amounts recognized in the financial statements for the three and nine month periods ended September 28, 2008 and September 27, 2009 for stock-based compensation expense related to employees (in millions, except per share data). The stock-based compensation expense for the three months and nine-months ended September 28, 2008 and September 27, 2009 primarily relates to the grant of restricted stock units. In addition, for the three and nine months ended September 28, 2008 and September 27, 2009, there was no incremental tax benefit from stock options exercised in the period.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For the Nine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10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140"/>
              <w:spacing w:after="0"/>
              <w:rPr>
                <w:sz w:val="20"/>
                <w:szCs w:val="20"/>
                <w:color w:val="auto"/>
              </w:rPr>
            </w:pPr>
            <w:r>
              <w:rPr>
                <w:rFonts w:ascii="Arial" w:cs="Arial" w:eastAsia="Arial" w:hAnsi="Arial"/>
                <w:sz w:val="18"/>
                <w:szCs w:val="18"/>
                <w:color w:val="auto"/>
                <w:w w:val="88"/>
              </w:rPr>
              <w:t>Total cost of employee share-based compensation included in</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w w:val="93"/>
              </w:rPr>
              <w:t>income (loss) from continuing operations, before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 charged against income (loss) from discontinued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charged against operations</w:t>
            </w:r>
          </w:p>
        </w:tc>
        <w:tc>
          <w:tcPr>
            <w:tcW w:w="3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impact on net income (loss) per common share: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(the "Purchase Plan"). A total of 0.4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For the nine-months ended September 27, 2009, approximately 50,000 shares were purchased with a total value of $0.4 million. No shares were purchased under the plan for the nine-months ended September 28, 2008.</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March 31, 2009, the Company issued approximately 140,000 shares of common stock to the former shareholders of Haverstick Consulting, Inc. in payment of the stock portion of the first holdback consideration pursuant to the Agreement and Plan of Merger, dated November 2, 2007. These shares were issued without registration under the Securities Act of 1933, as amended (the "Securities Act"), in reliance upon the exemption provided by Section 4(2) under the Securities Act and Regulation D there under.</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September 2, 2009, the Company sold 2.6 million shares of its common stock to institutional investors at a purchase price of $7.20 in a registered direct public offering. The Company received gross proceeds of $18.7 million. After deducting placement agent fees and other offering expenses, some of which will not be paid until the fourth quarter of 2009, the Company received $17.5 million in net proceeds. The Company used the net proceeds from this transaction to repay existing indebtedness.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September 10, 2009, the Company completed a 1-for-10 reverse split of its common stock which was approved at the Company's Annual Meeting on June 4, 2009. The reverse split reduced the number of shares of the Company's common stock outstanding from 156,274,383 to 15,627,031. Proportional adjustments were made to the Company's stock options and other equity incentive awards, equity compensation plans, outstanding warrants and convertible notes. The total number of authorized shares of the Company's capital stock was not affected by the reverse stock split.</w:t>
      </w:r>
    </w:p>
    <w:p>
      <w:pPr>
        <w:spacing w:after="0" w:line="16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did not issue fractional shares as a result of the reverse stock split. Stockholders received a cash payment for their fractional shares from the exchange agent in an amount equal to the stockholder's pro rata share of the closing value of Kratos' common stock on September 10,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Stockholders' Equity for the periods ended September 28, 2008 and September 27, 2009 is provided below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Additional paid-in-capital from issuance of common stock</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8"/>
                <w:szCs w:val="18"/>
                <w:color w:val="auto"/>
              </w:rPr>
              <w:t>Stockholders' equity at end of period</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 has two classes of outstanding stock, Series B Convertible Preferred Stock and common stock. There was no issuance, redemption or conversion of the Series B Convertible Preferred Stock for the nine months ended September 28, 2008 and September 27, 2009. Common stock issued by the Company for the nine months ended September 28, 2008, and September 27, 2009, was as follows (in millions):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4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1"/>
              </w:rPr>
              <w:t>Stock issued for employee stock purchase plan, stock options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and RSUs 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acquisitions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Common stock issued for cash</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r>
      <w:tr>
        <w:trPr>
          <w:trHeight w:val="21"/>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r>
      <w:tr>
        <w:trPr>
          <w:trHeight w:val="27"/>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The Company calculates net income (loss) per share in accordance with </w:t>
      </w:r>
      <w:r>
        <w:rPr>
          <w:rFonts w:ascii="Arial" w:cs="Arial" w:eastAsia="Arial" w:hAnsi="Arial"/>
          <w:sz w:val="16"/>
          <w:szCs w:val="16"/>
          <w:i w:val="1"/>
          <w:iCs w:val="1"/>
          <w:color w:val="auto"/>
        </w:rPr>
        <w:t>FASB ASC Topic 260 Earning Per Share</w:t>
      </w:r>
      <w:r>
        <w:rPr>
          <w:rFonts w:ascii="Arial" w:cs="Arial" w:eastAsia="Arial" w:hAnsi="Arial"/>
          <w:sz w:val="16"/>
          <w:szCs w:val="16"/>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basic and diluted earnings per share were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For the Nine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0" w:type="dxa"/>
            <w:vAlign w:val="bottom"/>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1000" w:type="dxa"/>
            <w:vAlign w:val="bottom"/>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220" w:type="dxa"/>
            <w:vAlign w:val="bottom"/>
          </w:tcPr>
          <w:p>
            <w:pPr>
              <w:spacing w:after="0"/>
              <w:rPr>
                <w:sz w:val="14"/>
                <w:szCs w:val="14"/>
                <w:color w:val="auto"/>
              </w:rPr>
            </w:pPr>
          </w:p>
        </w:tc>
        <w:tc>
          <w:tcPr>
            <w:tcW w:w="780" w:type="dxa"/>
            <w:vAlign w:val="bottom"/>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29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27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 (loss) from continuing operations available for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shareholders (A)</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w w:val="94"/>
              </w:rPr>
              <w:t>Weighted average outstanding shares of common stock (B)</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Dilutive effect of contingently issuable shares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common stock equivalents (C)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(A/B)</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Diluted (A/C)</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shares were excluded from the calculation of diluted earnings per share because their inclusion would have been anti-dilutive.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2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For the Nine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4"/>
                <w:szCs w:val="14"/>
                <w:color w:val="auto"/>
              </w:rPr>
            </w:pPr>
          </w:p>
        </w:tc>
        <w:tc>
          <w:tcPr>
            <w:tcW w:w="2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11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11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11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contingently issuable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Shares of common stock from convertible debt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28, 2008, the Company had $12.8 million of unrecognized tax benefits. During the nine months ended September 27, 2009, this amount was reduced by $0.4 million relating to the expiration of statutes of limitations of which $0.1 million was recognized during the third quarter of 2009 resulting in unrecognized tax benefits at September 27, 2009 of $12.4 million. The reduction in unrecognized tax benefits was recorded as a tax benefit from discontinued operations for $0.4 million.</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The Company recorded $0.1 million of interest and penalties during the nine-month period ended September 28, 2008 and September 27, 2009, respectively.</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$3.5 million of the liabilities for uncertain tax positions will expire within 12 months of September 27, 2009 due to the expiration of various applicable statutes of limitations and possible settlement of a pending income tax refund claim.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7"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and nine months ended September 28, 2008 and September 27, 2009 is as follows (in millions):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For the Nine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at federal statutory rate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0"/>
              </w:rPr>
              <w:t>State taxes, net of federal tax benefit and valuation allowance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24, 2008, the Company acquired Huntsville, Alabama based Digital Fusion, Inc. (DFI) in a stock for stock transaction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$37.0 million. DFI provides Command, Control, Communications, Computing, Intelligence, Surveillance, and Reconnaissance (C4ISR) and technical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Unmanned Aerial Vehicle (UAV) products and technology and has significant engineering, modeling and simulation capabilities. The acquisition of DFI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Kratos with new customers and an expanded contract vehicle portfolio, in addition to expanding the range of service offerings to existing Kratos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Principal customers of DFI include the Army Aviation and Missile Research, Development and Engineering Center (AMRDEC), Army Space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Missile Defense Command/Army Forces Strategic Command ARSTRAT), NASA Marshall Space Flight Center, and certain classified customers.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aforementioned factors are the primary reason for the acquisition and the amount subsequently assigned to goodwill.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purchase price of $37.0 million includes direct transaction costs of $0.9 million. The Company issued 2.3 million shares to DFI shareholders and assumed DFI options which were exercisable for approximately 1.0 million shares of Kratos common stock. The value of the purchase price related to the common stock issued was derived from the number of shares of Kratos common stock issued of 2.3 million, based on 12.8 million shares of DFI common stock outstanding and the exchange ratio of 0.17933 for each DFI share, at a price of $12.70 per share, the average closing price of Kratos shares of common stock on the announcement date and for the two days prior to and two days subsequent to the public announcement of the merger on November 24, 2008. The Company assumed DFI options valued at the exchange ratio of 0.17933 for each DFI option. The fair value of the assumed options that was allocated to goodwill based upon the Black-Scholes pricing model was $7.0 million. The fair value of unvested options which are related to future service will be expensed as the service is performed over the weighted average vesting period of 1.2 years. The results of operations of DFI are included in the accompanying condensed consolidated financial statements for the three and nine months ended September 27, 2009.</w:t>
      </w:r>
    </w:p>
    <w:p>
      <w:pPr>
        <w:spacing w:after="0" w:line="17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$3.6 million which was tax deductible to DFI.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June 28, 2008, the Company acquired San Diego-based SYS Technologies (SYS). SYS provides a range of C4ISR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purchase price of $55.9 million includes direct transaction costs of $2.4 million and estimated restructuring costs to be paid by Kratos. The value of the purchase price related to the common stock issued was derived from the number of shares of Kratos common stock issued of 2.5 million, based on 20.1 million shares of SYS common stock outstanding and the exchange ratio of 0.12582 for each SYS share, at a price of $20.22 per share, the average closing price of Kratos common stock on the announcement date and for the two days prior to and two days subsequent to the public announcement of the merger on February 21, 2008. Following the closing of the acquisition, the Company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 As of September 27, 2009, approximately $1.4 million of the restructuring and facilities consolidation costs have been paid.</w:t>
      </w:r>
    </w:p>
    <w:p>
      <w:pPr>
        <w:spacing w:after="0" w:line="17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the Company identified three business units of SYS that were not core to its business strategy and/or have been dilutive to profitability. The Company believes the divestiture of these businesses will slightly reduce revenues going forward and increase profitability and cash flow. The sale of these businesses was completed in the quarter ended March 29, 2009 for an aggregate cash consideration of approximately $0.4 million. These businesses have been classified as discontinued operations in the accompanying Condensed Consolidated Financial Statements.</w:t>
      </w:r>
    </w:p>
    <w:p>
      <w:pPr>
        <w:spacing w:after="0" w:line="16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$6.7 million which was tax deductible to SYS.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following tables summarize the supplemental statement of operations information on an unaudited pro forma basis as if the acquisition of SYS and DFI had occurred on January 1, 2008, and include adjustments that were directly attributable to the transactions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amounts, except per share amounts are in millions):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28, 2008</w:t>
            </w:r>
          </w:p>
        </w:tc>
        <w:tc>
          <w:tcPr>
            <w:tcW w:w="80" w:type="dxa"/>
            <w:vAlign w:val="bottom"/>
          </w:tcPr>
          <w:p>
            <w:pPr>
              <w:spacing w:after="0"/>
              <w:rPr>
                <w:sz w:val="12"/>
                <w:szCs w:val="12"/>
                <w:color w:val="auto"/>
              </w:rPr>
            </w:pPr>
          </w:p>
        </w:tc>
        <w:tc>
          <w:tcPr>
            <w:tcW w:w="9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15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September 28, 2008</w:t>
            </w:r>
          </w:p>
        </w:tc>
      </w:tr>
      <w:tr>
        <w:trPr>
          <w:trHeight w:val="161"/>
        </w:trPr>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6"/>
              </w:rPr>
              <w:t>As Reported</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08"/>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Basic shares outstanding or issued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acquisition</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r>
      <w:tr>
        <w:trPr>
          <w:trHeight w:val="208"/>
        </w:trPr>
        <w:tc>
          <w:tcPr>
            <w:tcW w:w="2620" w:type="dxa"/>
            <w:vAlign w:val="bottom"/>
          </w:tcPr>
          <w:p>
            <w:pPr>
              <w:spacing w:after="0"/>
              <w:rPr>
                <w:sz w:val="20"/>
                <w:szCs w:val="20"/>
                <w:color w:val="auto"/>
              </w:rPr>
            </w:pPr>
            <w:r>
              <w:rPr>
                <w:rFonts w:ascii="Arial" w:cs="Arial" w:eastAsia="Arial" w:hAnsi="Arial"/>
                <w:sz w:val="18"/>
                <w:szCs w:val="18"/>
                <w:color w:val="auto"/>
                <w:w w:val="94"/>
              </w:rPr>
              <w:t>Fully diluted shares outstanding 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620" w:type="dxa"/>
            <w:vAlign w:val="bottom"/>
          </w:tcPr>
          <w:p>
            <w:pPr>
              <w:ind w:left="180"/>
              <w:spacing w:after="0"/>
              <w:rPr>
                <w:sz w:val="20"/>
                <w:szCs w:val="20"/>
                <w:color w:val="auto"/>
              </w:rPr>
            </w:pPr>
            <w:r>
              <w:rPr>
                <w:rFonts w:ascii="Arial" w:cs="Arial" w:eastAsia="Arial" w:hAnsi="Arial"/>
                <w:sz w:val="18"/>
                <w:szCs w:val="18"/>
                <w:color w:val="auto"/>
              </w:rPr>
              <w:t>issued for acquisition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Basic and fully diluted pro forma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r>
      <w:tr>
        <w:trPr>
          <w:trHeight w:val="784"/>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Nine Months Ended</w:t>
            </w: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28, 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28, 2008</w:t>
            </w:r>
          </w:p>
        </w:tc>
      </w:tr>
      <w:tr>
        <w:trPr>
          <w:trHeight w:val="16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6"/>
              </w:rPr>
              <w:t>As 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Pro forma</w:t>
            </w:r>
          </w:p>
        </w:tc>
        <w:tc>
          <w:tcPr>
            <w:tcW w:w="160" w:type="dxa"/>
            <w:vAlign w:val="bottom"/>
          </w:tcPr>
          <w:p>
            <w:pPr>
              <w:spacing w:after="0"/>
              <w:rPr>
                <w:sz w:val="14"/>
                <w:szCs w:val="14"/>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08"/>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Shares outstanding or issued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acquisition</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r>
      <w:tr>
        <w:trPr>
          <w:trHeight w:val="208"/>
        </w:trPr>
        <w:tc>
          <w:tcPr>
            <w:tcW w:w="2620" w:type="dxa"/>
            <w:vAlign w:val="bottom"/>
          </w:tcPr>
          <w:p>
            <w:pPr>
              <w:spacing w:after="0"/>
              <w:rPr>
                <w:sz w:val="20"/>
                <w:szCs w:val="20"/>
                <w:color w:val="auto"/>
              </w:rPr>
            </w:pPr>
            <w:r>
              <w:rPr>
                <w:rFonts w:ascii="Arial" w:cs="Arial" w:eastAsia="Arial" w:hAnsi="Arial"/>
                <w:sz w:val="18"/>
                <w:szCs w:val="18"/>
                <w:color w:val="auto"/>
                <w:w w:val="94"/>
              </w:rPr>
              <w:t>Fully diluted shares outstanding 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620" w:type="dxa"/>
            <w:vAlign w:val="bottom"/>
          </w:tcPr>
          <w:p>
            <w:pPr>
              <w:ind w:left="180"/>
              <w:spacing w:after="0"/>
              <w:rPr>
                <w:sz w:val="20"/>
                <w:szCs w:val="20"/>
                <w:color w:val="auto"/>
              </w:rPr>
            </w:pPr>
            <w:r>
              <w:rPr>
                <w:rFonts w:ascii="Arial" w:cs="Arial" w:eastAsia="Arial" w:hAnsi="Arial"/>
                <w:sz w:val="18"/>
                <w:szCs w:val="18"/>
                <w:color w:val="auto"/>
              </w:rPr>
              <w:t>issued for acquisition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and diluted pro forma net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bl>
    <w:p>
      <w:pPr>
        <w:spacing w:after="0" w:line="20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decline in revenues for the three and nine months ended September 27, 2009 as compared to the pro forma amounts for the three and nine months ended September 28, 2008, which was expected by the Company, is primarily due to the impact of the conversion of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It is not uncommon in defense contracting for a company that has acquired other companies to experience a conversion from prime to subcontractor status in connection with legacy small business contracts.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In connection with two prior business acquisitions, Madison Research Corporation (MRC) and Haverstick Consulting, Inc. (Haverstick), the Company agreed to make additional future payments to sellers contingent upon achievement of specific performance-based milestones by the acquired entities. Pursuant to the provisions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xml:space="preserve"> such amounts are accrued, and therefore, recorded by the Company when the contingency is resolved beyond a reasonable doubt and the additional consideration becomes payable.</w:t>
      </w:r>
    </w:p>
    <w:p>
      <w:pPr>
        <w:spacing w:after="0" w:line="19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resolved all outstanding indemnification obligations related to the MRC holdback and made the final payment of $2.4 million in March 2009. The initial stock portion of the Haverstick holdback payment of approximately 140,000 shares and the cash payment of $0.6 million was made in March 2009. The other current liabilities on the accompanying condensed consolidated balance sheet as of September 27, 2009 includes $0.6 million for the final Haverstick cash holdback and the Haverstick common stock holdback consideration of $3.7 million is reflected as additional paid in capital for contingent consideration in the accompanying condensed consolidated financial statements. A summary of the contingent acquisition consideration as of December 28, 2008 and September 27, 2009 is summarized in the following table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Haverstick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MRC</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Principal and interest cash payments</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stock</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22"/>
        </w:trPr>
        <w:tc>
          <w:tcPr>
            <w:tcW w:w="20" w:type="dxa"/>
            <w:vAlign w:val="bottom"/>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Post acquisition adjustments and interest accruals, net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27, 2009</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October 1, 2009, the final cash and common stock holdback related to the Haverstick acquisition was paid.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 sectors. The total consideration for the acquisition was $24.0 million including $18.0 million in cash at closing, subject to post closing working capital adjustments, and an aggregate $6.0 million in a three-year earn-out arrangement through 2010. The transaction included a Transition Services Agreement for the transition of certain services for a period of nine months. The assets sold to an affiliate of Platinum Equity included all of the Company's wireless deployment business, and the Wireless Facilities name. The transaction closed on July 24, 2007.</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was to be paid in installments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with the first amount of $2.5 million due on July 31, 2008 and payments of $0.5 million monthly thereafter until paid in full in December 2008. The Company did not make the scheduled $2.5 million payment due as of July 31, 2008. Payments of $1.0 million were made in August and September of 2008, with an additional $0.5 million paid in December 2008. In March of 2009, the Company paid $1.5 million of the working capital adjustment. On August 4, 2009, the Company paid $1.3 million in full settlement of all amounts due to Platinum Equity.</w:t>
      </w:r>
    </w:p>
    <w:p>
      <w:pPr>
        <w:spacing w:after="0" w:line="197"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2008, after evaluating these businesses further, a decision was made to dispose of and sell all three business units. In accordance with </w:t>
      </w:r>
      <w:r>
        <w:rPr>
          <w:rFonts w:ascii="Arial" w:cs="Arial" w:eastAsia="Arial" w:hAnsi="Arial"/>
          <w:sz w:val="15"/>
          <w:szCs w:val="15"/>
          <w:i w:val="1"/>
          <w:iCs w:val="1"/>
          <w:color w:val="auto"/>
        </w:rPr>
        <w:t>FASB ASC Topic 205 Presentation of Financial Statements</w:t>
      </w:r>
      <w:r>
        <w:rPr>
          <w:rFonts w:ascii="Arial" w:cs="Arial" w:eastAsia="Arial" w:hAnsi="Arial"/>
          <w:sz w:val="15"/>
          <w:szCs w:val="15"/>
          <w:color w:val="auto"/>
        </w:rPr>
        <w:t>, these business units were classified as held for sale and reported in discontinued operations as of and for the year ended December 28, 2008, and the nine months ended September 27, 2009, respectively. The Company recorded a $4.5 million impairment charge in the fourth quarter of 2008 primarily related to the impairment of goodwill and intangibles allocated to these businesses. In the first quarter of 2009, all three of the businesses were sold for an aggregate cash consideration of approximately $0.4 million.</w:t>
      </w:r>
    </w:p>
    <w:p>
      <w:pPr>
        <w:spacing w:after="0" w:line="159"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On June 24, 2009, as a result of the continued operating losses in the Southeast division of the Company's Public Safety and Security segment, the Company's Board of Directors approved a plan to sell and dispose of the Southeast division. In accordance with </w:t>
      </w:r>
      <w:r>
        <w:rPr>
          <w:rFonts w:ascii="Arial" w:cs="Arial" w:eastAsia="Arial" w:hAnsi="Arial"/>
          <w:sz w:val="18"/>
          <w:szCs w:val="18"/>
          <w:i w:val="1"/>
          <w:iCs w:val="1"/>
          <w:color w:val="auto"/>
        </w:rPr>
        <w:t>FASB ASC Topic 205 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this business unit was classified as held for sale and reported in discontinued operations in the accompanying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Company recorded a $2.0 million impairment charge in the second quarter of 2009 related to management's estimate of the fair value of the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left="361"/>
              <w:spacing w:after="0"/>
              <w:rPr>
                <w:sz w:val="20"/>
                <w:szCs w:val="20"/>
                <w:color w:val="auto"/>
              </w:rPr>
            </w:pPr>
            <w:r>
              <w:rPr>
                <w:rFonts w:ascii="Arial" w:cs="Arial" w:eastAsia="Arial" w:hAnsi="Arial"/>
                <w:sz w:val="14"/>
                <w:szCs w:val="14"/>
                <w:b w:val="1"/>
                <w:bCs w:val="1"/>
                <w:color w:val="auto"/>
                <w:w w:val="89"/>
              </w:rPr>
              <w:t>For the Three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89"/>
              </w:rPr>
              <w:t>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Months Ended</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80" w:type="dxa"/>
            <w:vAlign w:val="bottom"/>
          </w:tcPr>
          <w:p>
            <w:pPr>
              <w:spacing w:after="0"/>
              <w:rPr>
                <w:sz w:val="11"/>
                <w:szCs w:val="11"/>
                <w:color w:val="auto"/>
              </w:rPr>
            </w:pPr>
          </w:p>
        </w:tc>
        <w:tc>
          <w:tcPr>
            <w:tcW w:w="10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2440" w:type="dxa"/>
            <w:vAlign w:val="bottom"/>
            <w:gridSpan w:val="2"/>
          </w:tcPr>
          <w:p>
            <w:pPr>
              <w:spacing w:after="0"/>
              <w:rPr>
                <w:sz w:val="11"/>
                <w:szCs w:val="11"/>
                <w:color w:val="auto"/>
              </w:rPr>
            </w:pPr>
          </w:p>
        </w:tc>
      </w:t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280" w:type="dxa"/>
            <w:vAlign w:val="bottom"/>
          </w:tcPr>
          <w:p>
            <w:pPr>
              <w:spacing w:after="0"/>
              <w:rPr>
                <w:sz w:val="18"/>
                <w:szCs w:val="18"/>
                <w:color w:val="auto"/>
              </w:rPr>
            </w:pPr>
          </w:p>
        </w:tc>
      </w:tr>
      <w:tr>
        <w:trPr>
          <w:trHeight w:val="208"/>
        </w:trPr>
        <w:tc>
          <w:tcPr>
            <w:tcW w:w="23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Net income (loss) before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200" w:type="dxa"/>
            <w:vAlign w:val="bottom"/>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280" w:type="dxa"/>
            <w:vAlign w:val="bottom"/>
          </w:tcPr>
          <w:p>
            <w:pPr>
              <w:spacing w:after="0"/>
              <w:rPr>
                <w:sz w:val="19"/>
                <w:szCs w:val="19"/>
                <w:color w:val="auto"/>
              </w:rPr>
            </w:pPr>
          </w:p>
        </w:tc>
      </w:tr>
      <w:tr>
        <w:trPr>
          <w:trHeight w:val="218"/>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5"/>
              </w:rPr>
              <w:t>Net income (loss) after taxes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center"/>
              <w:ind w:right="1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center"/>
              <w:ind w:right="92"/>
              <w:spacing w:after="0"/>
              <w:rPr>
                <w:sz w:val="20"/>
                <w:szCs w:val="20"/>
                <w:color w:val="auto"/>
              </w:rPr>
            </w:pPr>
            <w:r>
              <w:rPr>
                <w:rFonts w:ascii="Arial" w:cs="Arial" w:eastAsia="Arial" w:hAnsi="Arial"/>
                <w:sz w:val="18"/>
                <w:szCs w:val="18"/>
                <w:color w:val="auto"/>
                <w:w w:val="89"/>
              </w:rPr>
              <w:t>23</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 (Continued)</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Following is a summary of the assets and liabilities of discontinued operations which are in other current assets, other assets, other current liabilities and other long-term liabilities in the accompanying condensed consolidated balance sheets as of December 28, 2008 and September 27, 2009 (in millions):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28,</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Impairment allowance</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Non-current unrecognized tax benefits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has a credit facility of $85.0 million with KeyBank National Association ("KeyBank") as administrative agent. This credit facility provides for two term loans consisting of a first lien term note of $50.0 million and a second lien term note of $10.0 million, as well as a first lien $25.0 million revolving line of credit, and is collateralized by the assets of the Company and its subsidiaries. KeyBank holds the revolving line of credit and the second lien term note. Field Point III, Ltd. and SPF CDO I, Ltd., both affiliates of Silverpoint Capital LP ("Silverpoint"), hold the first lien term note. The $10.0 million term loan has a five and one half-year term with principal payments of $25,000 required quarterly from March 31, 2008 through March 31, 2013 with the final balance of $9.5 million due on June 30, 2013. The $50.0 million term loan has a five-year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five-year term which expires on December 31, 2012.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revolving line of credit. All rates are subject to a LIBOR floor of 4.25% and a "prime rate" floor of 5.25%.</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September 27, 2009, the Company's outstanding balance on the facility was $56.5 million and the weighted average interest rate on the debt borrowed during the three and nine months ended September 27, 2009 was 11.59%, with $43.8 million on the first lien term loan, $9.8 million on the second lien term loan and $2.9 million on the revolving line of credit. As of September 27, 2009, the unused line of credit under the revolving line of credit, net of $1.2 million in outstanding letters of credit, was approximately $20.9 million. The only restriction on the use of these funds is that the Company must be in compliance with covenants of the credit facility. The Company was in compliance with all covenants under the credit facility as of September 27, 2009.</w:t>
      </w:r>
    </w:p>
    <w:p>
      <w:pPr>
        <w:spacing w:after="0" w:line="170"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The error resulted from the erroneous preparation of a schedule to the loan documents consisting of calculations relating to a financial covenant. The Company was specifically seeking reformation of the error in the Minimum Liquidity Ratio covenant.</w:t>
      </w:r>
    </w:p>
    <w:p>
      <w:pPr>
        <w:spacing w:after="0" w:line="19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On October 16, 2009, the Company and the lenders under its Credit Agreement executed a Settlement Agreement related to this complaint and executed a Third Amendment to its Credit Agreement. Under the Settlement Agreement, the parties dismissed the action and a related action with prejudice. Among other things, the Settlement Agreement and Third Amendment:</w:t>
      </w:r>
    </w:p>
    <w:p>
      <w:pPr>
        <w:spacing w:after="0" w:line="20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reform the error in the minimum liquidity ratio in accordance with the Company's request;</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the net proceeds from the Company's registered direct public offering on September 2, 2009 must be used to reduce the first term loan at par with no prepayment penalty or make whole payments;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if the Company refinances the remaining balance of the first lien term loan by March 12, 2010, the extinguishment of the term loan will be at par with no prepayment penalty or make whole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 the term on the revolving line of credit by one year to December 31, 2012;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Company to pay a $0.5 million fee to its lenders.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27, 2009, the $17.5 million net proceeds from the Company's registered direct public offering had been used to reduce the balance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revolving line of credit. On October 16, 2009, the Company borrowed $17.5 million from its revolving line of credit to make the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on the first lien term loan in accordance with the terms of the Settlement Agreement and the Third Amendment to its Credit Agreement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payment of the $0.5 million in fees to the lenders.</w:t>
      </w:r>
    </w:p>
    <w:p>
      <w:pPr>
        <w:spacing w:after="0" w:line="219"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of November 3, 2009, the balance on the first lien term loan was $26.2 million, the balance on the second lien term loan was $9.8 million, and the balance on the revolving line of credit was $20.4 million, with $1.2 million of letter of credit outstanding and $3.4 million available.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Subordinated Notes</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28, 2008, the Company had outstanding convertible notes payable totaling $3.1 million which were acquired as a result of the SYS acquisition, of which $0.8 million was payable to related parties. The convertible notes payable are unsecured and subordinated to the Company's bank debt and bear interest at 10% per annum payable quarterly. Principal was due February 14, 2009 and the notes were convertible at any time into shares of common stock at a conversion rate of $28.60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$28.60 per share or the Kratos closing share value on February 13, 2009; or</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$28.60 or the Kratos closing share value on February 13, 2009 less a 10% discount.</w:t>
      </w:r>
    </w:p>
    <w:p>
      <w:pPr>
        <w:spacing w:after="0" w:line="186"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As of September 27, 2009, $2.1 million of the notes had been paid and $1.0 million of the notes had been extended to August 14, 2010, $25,000 of which is payable to a related party. The balance of the outstanding notes of $1.0 million, which is potentially convertible into common stock of Kratos at $10.20 per share or approximately 94,000 shares, is reflected in the current portion of long-term debt in the accompanying condensed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FASB ASC Topic 820 Fair Value Measurements and Disclosures (Topic 820) </w:t>
      </w:r>
      <w:r>
        <w:rPr>
          <w:rFonts w:ascii="Arial" w:cs="Arial" w:eastAsia="Arial" w:hAnsi="Arial"/>
          <w:sz w:val="16"/>
          <w:szCs w:val="16"/>
          <w:color w:val="auto"/>
        </w:rPr>
        <w:t>defines fair value, establishes a market-based framework or hierarchy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measuring fair value, and expands disclosures about fair value measurements. </w:t>
      </w:r>
      <w:r>
        <w:rPr>
          <w:rFonts w:ascii="Arial" w:cs="Arial" w:eastAsia="Arial" w:hAnsi="Arial"/>
          <w:sz w:val="16"/>
          <w:szCs w:val="16"/>
          <w:i w:val="1"/>
          <w:iCs w:val="1"/>
          <w:color w:val="auto"/>
        </w:rPr>
        <w:t>Topic 820 is</w:t>
      </w:r>
      <w:r>
        <w:rPr>
          <w:rFonts w:ascii="Arial" w:cs="Arial" w:eastAsia="Arial" w:hAnsi="Arial"/>
          <w:sz w:val="16"/>
          <w:szCs w:val="16"/>
          <w:color w:val="auto"/>
        </w:rPr>
        <w:t xml:space="preserve"> applicable whenever another accounting pronouncement requires or permits assets and liabilities to be measured at fair value, but does not require any new fair value measurements.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fair value hierarchy established in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prioritizes the inputs used in valuation techniques into three levels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 (Continued)</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balance sheet on a recurring basis and their level within the fair value hierarchy as of December 28, 2008 and September 27, 2009:</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Quoted prices in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Total Carrying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December 28, 2008</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September 27, 2009</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28, 2008 and September 27, 2009 are presented in the following table. The carrying value of all other financial instruments, including cash and cash equivalents and short-term debt, approximated their estimated fair values at December 28, 2008 and September 27, 2009.</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28, 2008</w:t>
            </w:r>
          </w:p>
        </w:tc>
        <w:tc>
          <w:tcPr>
            <w:tcW w:w="8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27,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1"/>
                <w:szCs w:val="11"/>
                <w:color w:val="auto"/>
              </w:rPr>
            </w:pPr>
          </w:p>
        </w:tc>
        <w:tc>
          <w:tcPr>
            <w:tcW w:w="86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Carrying</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  73.4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  49.2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Long-Term Debt—the fair value of the long-term debt was calculated based on interest rates available for debt with terms and due dates similar to the Company's existing debt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w:t>
      </w:r>
    </w:p>
    <w:p>
      <w:pPr>
        <w:spacing w:after="0" w:line="231" w:lineRule="exact"/>
        <w:rPr>
          <w:sz w:val="20"/>
          <w:szCs w:val="20"/>
          <w:color w:val="auto"/>
        </w:rPr>
      </w:pPr>
    </w:p>
    <w:p>
      <w:pPr>
        <w:jc w:val="both"/>
        <w:ind w:right="80" w:firstLine="351"/>
        <w:spacing w:after="0" w:line="370" w:lineRule="auto"/>
        <w:rPr>
          <w:sz w:val="20"/>
          <w:szCs w:val="20"/>
          <w:color w:val="auto"/>
        </w:rPr>
      </w:pPr>
      <w:r>
        <w:rPr>
          <w:rFonts w:ascii="Arial" w:cs="Arial" w:eastAsia="Arial" w:hAnsi="Arial"/>
          <w:sz w:val="15"/>
          <w:szCs w:val="15"/>
          <w:color w:val="auto"/>
        </w:rPr>
        <w:t xml:space="preserve">In the first quarter of 2009, the Company adopted </w:t>
      </w:r>
      <w:r>
        <w:rPr>
          <w:rFonts w:ascii="Arial" w:cs="Arial" w:eastAsia="Arial" w:hAnsi="Arial"/>
          <w:sz w:val="15"/>
          <w:szCs w:val="15"/>
          <w:i w:val="1"/>
          <w:iCs w:val="1"/>
          <w:color w:val="auto"/>
        </w:rPr>
        <w:t>FASB ASC Topic 815 Derivatives and Hedging</w:t>
      </w:r>
      <w:r>
        <w:rPr>
          <w:rFonts w:ascii="Arial" w:cs="Arial" w:eastAsia="Arial" w:hAnsi="Arial"/>
          <w:sz w:val="15"/>
          <w:szCs w:val="15"/>
          <w:color w:val="auto"/>
        </w:rPr>
        <w:t>, which requires enhanced qualitative disclosures about the Company's objectives and strategies for using derivatives and quantitative disclosures about the fair value amounts of gains and losses on derivative instruments.</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uses derivative financial instruments, in particular, interest rate swaps, to reduce the Company's exposure to its variable rate debt. The primary objective of the interest rate swaps is to eliminate the variability of cash flows and interest rate risk for payments made on variable rate debt, the sole source of which is due to changes in the benchmark three month LIBOR interest rate. Changes in the cash flows of the interest rate swap are expected to exactly offset the changes in cash flows (i.e., changes in interest rate payments) attributable to fluctuations in the three month LIBOR on the variable-rate debt.</w:t>
      </w:r>
    </w:p>
    <w:p>
      <w:pPr>
        <w:spacing w:after="0" w:line="16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Company records derivatives at their fair value. The classification of gains and losses resulting from changes in the fair values of derivatives is dependent on the Company's intended use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derivative and its resulting designation. Adjustments to reflect changes in fair values of derivatives that the Company consider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September 27, 2009 was $55.0 million.</w:t>
      </w:r>
    </w:p>
    <w:p>
      <w:pPr>
        <w:spacing w:after="0" w:line="15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Company's credit facility in March 2008. The effect of marking the derivative instruments to market for the three and nine months ended September 27, 2008 was expense of $0.2 million and income of $0.4 million, respectively, and for the three and nine months ended September 27, 2009 was an expense of $0.3 and income of $0.1 million, respectively; all of which is reflected in other income (expense) in the accompanying condensed consolidated statements of operations. The fair value of the Company's derivative liabilities as of December 28, 2008 and September 27, 2009 was $1.7 million and</w:t>
      </w:r>
    </w:p>
    <w:p>
      <w:pPr>
        <w:spacing w:after="0" w:line="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$1.6 million, respectively, and is carried in other long-term liabilities in the accompanying condensed consolidated balance sheets. See Note 9 for further discussion on the fair value measurements related to the Company's derivative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Key Customers</w:t>
            </w: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For the Nine Months Ended</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0"/>
              </w:rPr>
              <w:t>September 28, 2008</w:t>
            </w:r>
          </w:p>
        </w:tc>
        <w:tc>
          <w:tcPr>
            <w:tcW w:w="14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September 27, 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0"/>
              </w:rPr>
              <w:t>September 28, 2008</w:t>
            </w:r>
          </w:p>
        </w:tc>
        <w:tc>
          <w:tcPr>
            <w:tcW w:w="14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September 27, 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29.6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 $</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27.1</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31.5% $</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75.7</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 $</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81.0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U.S. Army</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
              <w:spacing w:after="0"/>
              <w:rPr>
                <w:sz w:val="20"/>
                <w:szCs w:val="20"/>
                <w:color w:val="auto"/>
              </w:rPr>
            </w:pPr>
            <w:r>
              <w:rPr>
                <w:rFonts w:ascii="Arial" w:cs="Arial" w:eastAsia="Arial" w:hAnsi="Arial"/>
                <w:sz w:val="18"/>
                <w:szCs w:val="18"/>
                <w:color w:val="auto"/>
              </w:rPr>
              <w:t>10.3</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13.2% $</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18.1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21.0% $</w:t>
            </w:r>
          </w:p>
        </w:tc>
        <w:tc>
          <w:tcPr>
            <w:tcW w:w="980" w:type="dxa"/>
            <w:vAlign w:val="bottom"/>
          </w:tcPr>
          <w:p>
            <w:pPr>
              <w:jc w:val="right"/>
              <w:ind w:right="82"/>
              <w:spacing w:after="0"/>
              <w:rPr>
                <w:sz w:val="20"/>
                <w:szCs w:val="20"/>
                <w:color w:val="auto"/>
              </w:rPr>
            </w:pPr>
            <w:r>
              <w:rPr>
                <w:rFonts w:ascii="Arial" w:cs="Arial" w:eastAsia="Arial" w:hAnsi="Arial"/>
                <w:sz w:val="18"/>
                <w:szCs w:val="18"/>
                <w:color w:val="auto"/>
              </w:rPr>
              <w:t>37.4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17.6% $</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54.9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customers are all part of the Kratos Government Services segment. The Company's top five customers accounted for approximately 62% and 65% of total revenue for the three and nine months ended September 28, 2008 and for approximately 63% for the three and nine months ended September 27, 2009, respectively. Total revenue from the federal government for the three and nine months ended September 28, 2008 was $62.7 million and $167.9 million, respectively, and for the three and nine months ended September 27, 2009 was $74.1 million and $223.7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operates in two principal business segments: Kratos Government Solutions (KGS) and Public Safety and Security (PSS).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and restricted stock units), the effects of items not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and operating income generated by the Company's current reporting segments for the three and nine months ended September 28,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2009 are as follows (in millions):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82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79.0</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182.0</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Unallocated Corporate income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For the nine months ended September 27, 2009, the operating loss of the KGS segment includes a non-cash charge of $41.3 million related to goodwill impairment.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3"/>
          </w:tcPr>
          <w:p>
            <w:pPr>
              <w:jc w:val="center"/>
              <w:ind w:right="26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28,</w:t>
            </w:r>
          </w:p>
        </w:tc>
        <w:tc>
          <w:tcPr>
            <w:tcW w:w="160" w:type="dxa"/>
            <w:vAlign w:val="bottom"/>
          </w:tcPr>
          <w:p>
            <w:pPr>
              <w:spacing w:after="0"/>
              <w:rPr>
                <w:sz w:val="12"/>
                <w:szCs w:val="12"/>
                <w:color w:val="auto"/>
              </w:rPr>
            </w:pPr>
          </w:p>
        </w:tc>
        <w:tc>
          <w:tcPr>
            <w:tcW w:w="344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21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275.9</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60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2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vMerge w:val="restart"/>
          </w:tcPr>
          <w:p>
            <w:pPr>
              <w:jc w:val="right"/>
              <w:ind w:right="972"/>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18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Appeals of the final approval decision must be filed within 30 days of the date judgment is entered. Due to the inherent uncertainties of litigation and because the time to file an appeal of final approval of the settlement has not run, the ultimate outcome of the matter is uncertain.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The parties have conferred and discussed the Court's personal jurisdictional order, notice of appeal, and appellate briefing schedule and have stipulated to a briefing schedule for any remaining motions to dismiss that the Company, along with the individual defendants subject to the court's jurisdiction, may bring in an effort to dismiss the complaint as to them. However, in light of the tentative settlement of all derivative litigation, discussed below, the parties have requested that the appeal, and all other matters except as to document and consummate the proposed settlement, be stayed pending approval of the settlement by the district court.</w:t>
      </w:r>
    </w:p>
    <w:p>
      <w:pPr>
        <w:spacing w:after="0" w:line="17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an additional six months. The Court subsequently granted the parties' stipulation and stay request and ordered the parties to file an updated status report in April 2010.</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parties currently are in the process of drafting settlement papers, and expect to submit them to the federal district court for approval shortly. There is no guarantee, however, that the settlement will be approved by the court. In addition, defendants continue to believe that plaintiffs' allegations lack merit and intend to vigorously defend all claims asserted if the settlement is not approved. It is impossible at this time to assess whether or not the outcome of these proceedings will have a material adverse effect on the Company.</w:t>
      </w:r>
    </w:p>
    <w:p>
      <w:pPr>
        <w:spacing w:after="0" w:line="17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$0.1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$0.5 million for his back wages, vacation pay and certain other benefits. The Company filed an appeal on the matter on July 20, 2006 and is challenging the basis for the award on several theories.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 The Company has accrued approximately $0.5 million as of September 27, 2009, related to this matter.</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alleged various violations of the California Labor Code and sought payments for allegedly unpaid straight time and overtime, meal period pay and associated penalties. The Company and the plaintiffs agreed to venue for the suit in San Diego County. Although the Company believed that the allegations lack merit, it agreed with the plaintiffs to settle their claims for an aggregate amount in the range of $0.3 million to $0.5 million, to include individual and incentive awards, attorneys' fees and administrative costs. The court granted final approval of the settlement on April 17, 2009 and the Company has paid a total of $0.3 million in accordance with the final settlement.</w:t>
      </w:r>
    </w:p>
    <w:p>
      <w:pPr>
        <w:spacing w:after="0" w:line="17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On May 3, 2007, Kratos announced that it had filed a lawsuit against a former employee who previously served as its stock option administrator and left Kratos in mid-2004, and his spouse. The lawsuit sought to recover damages resulting from the theft by a former employee of Kratos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options and common stock valued in excess of $6.3 million. 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The SEC and U.S. Attorney's Office have each notified Kratos that they have completed their respective investigations and do not intend to recommend any action against the Company. The former employee and his wife entered into a settlement agreement with Kratos on October 5, 2007 and the court entered a final judgment approving the settlement on February 19, 2008. Kratos' directors' and officers' liability insurers agreed to reimburse it for $4.1 million in the third and fourth quarters of 2008 related to fees previously incurred on the investigation by the U.S. Attorney's Office as well as fees previously incurred on the SEC investigation.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Capital LP ("Silverpoint"), and KeyBank National Association ("KeyBank") seeking equitable relief in the form of reformation of an error in a contract schedule, declaratory relief and damages. The error resulted from the erroneous preparation of a schedule to the loan documents consisting of calculations related to a financial covenant. On August 5, 2009, Silverpoint filed a complaint in the United States District Court for the Southern District of New York against the Company and KeyBank seeking declaratory relief that the financial covenants were enforceable as written.</w:t>
      </w:r>
    </w:p>
    <w:p>
      <w:pPr>
        <w:spacing w:after="0" w:line="198"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On October 16, 2009, the Company and the lenders under its Credit Agreement executed a Settlement Agreement related to this complaint and executed a Third Amendment to its Credit Agreement. Under the Settlement Agreement the parties agree to dismiss the actions with prejudice and release the other parties from all claims. Among other things, the Settlement Agreement and Third Amendment:</w:t>
      </w:r>
    </w:p>
    <w:p>
      <w:pPr>
        <w:spacing w:after="0" w:line="20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reform the error in the minimum liquidity ratio in accordance with the Company's request;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the net proceeds from the Company's registered direct public offering on September 2, 2009 must be used to reduce the first term loan at par with no prepayment penalty or make whole payments;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if the Company refinances the remaining balance of the first lien term loan by March 12, 2010, the extinguishment of the term loan will be at par with no prepayment penalty or make whole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 the term on the revolving line of credit by one year to December 31, 2012;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Company to pay a $0.5 million fee to its lenders.</w:t>
      </w:r>
    </w:p>
    <w:p>
      <w:pPr>
        <w:spacing w:after="0" w:line="225"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of September 27, 2009, the $17.5 million net proceeds from the Company's registered direct public offering had been used to reduce the balance on the Company's revolving line of credit. On October 16, 2009, the Company borrowed $17.5 million from its revolving line of credit to make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payment of $17.5 million on the first lien term loan in accordance with the terms of the Settlement Agreement and the Third Amendment to its Credit Agreement and the Company made the payment of the $0.5 million in fees to the lenders.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October 21, 2009, one of the Company's divisions received a default notice from a state government customer. The default notice asserts that the division has failed to meet certain performance deadlines in the contractual arrangement. The Company is currently working with the state to resolve the default notice and to obtain a contractual amendment and funding increase for scope changes requested by the state. The Company has also terminated one of its subcontractors on the project, which was under a fixed price contractual arrangement to deliver a substantial portion of the requirements of the project, and is evaluating its available legal remedies against the original subcontractor, which sold its business to the current subcontractor. The Company believes that the resolution of these various related matters will be determined at the time of completion, which it estimates will be the first quarter of 2010. In the event that it is unable to cure the default with the state, the Company could be subject to various liquidated damages under the contractual arrangement, which could be material to our operating results. The Company is currently in the process of assessing its future involvement in this business line.</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Company's role as a contractor to agencies and departments of the U.S. Government results in the Company being routinely subject to investigations and reviews relating to compliance with various laws and regulations, including those associated with organizational conflicts of interest. These investigations may be conducted without the Company's knowledge. The Company is unable to predict the outcome of such investigations or to estimate the amounts of resulting claims or other actions that could be instituted against the Company, its officers or employees. Adverse findings in these investigations or reviews can lead to criminal, civil or administrative proceedings and the Company could face penalties, fines, repayments or compensatory damages. Adverse findings could also have a material adverse effect on the Company's business, consolidated financial position, results of operations and cash flows due to its reliance on government contracts.</w:t>
      </w:r>
    </w:p>
    <w:p>
      <w:pPr>
        <w:spacing w:after="0" w:line="20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amortization expense,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20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in Item 1A "Risk Factors" and the audited consolidated financial statements and related notes included in our Annual Report filed on Form 10-K for the year ended December 28, 2008 and other reports and filings made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Intelligence, Surveillance and Reconnaissance (C4ISR);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systems; advanced network engineering and information technology services; and advanced information technology services. We offer our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solutions and expertise to support their mission-critical needs by leveraging our skills across our core service areas.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to Kratos Defense &amp; Security Solutions, Inc.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Reporting Segments</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our operating structure. For additional information regarding our operating segments, see Note 12 of Notes to Condensed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Kratos Government Solutions segment provides engineering, information technology and weapons systems to federal, state, and local government agencies, but primarily the DoD. Our work includes weapon systems sustainment, lifecycle support and extension; C4ISR services; military range operations and technical services; missile, rocket, and weapons systems test and evaluation; mission launch services; modeling and simulation, unmanned aerial vehicle (UAV) products and technology, and advanced network engineering and information technology services;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temperature control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w:t>
      </w:r>
    </w:p>
    <w:p>
      <w:pPr>
        <w:spacing w:after="0" w:line="170"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June 24, 2009, as a result of the continued losses in the Southeast division of PSS, our Board of Directors approved a plan to sell and dispose of this division. The business unit was classified as held for sale and reported in discontinued operations in the accompanying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On June 28, 2008, we completed our acquisition of SYS, a San Diego-based company. The acquisition enhances our position as a premier mid-tier federal, state and local government contractor in the United States in the areas of C4ISR, IT services and public safety and homeland security solutions. The merger creates a broad, complementary set of business offerings, and positions us to deliver capabilities to a wider spectrum of customers.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issued 2.5 million shares to SYS shareholders in the acquisition, for a total purchase price of $55.9 million including direct transaction costs of</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$2.4 million. Each share of SYS common stock was converted into the right to receive 0.12582 shares of Kratos common stock. The value of the Kratos common stock issued in the acquisition was derived from the number of shares of Kratos common stock issued, or 2.5 million, at a price of $20.22 per share, the average closing price of Kratos shares of common stock for the two days prior to, including, and the two days subsequent to the public announcement of the acquisition on February 21, 2008. Following the closing of the acquisition, we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identified three business units of SYS that were not core to our business strategy and/or have been dilutive to profitability. We completed the sale of these businesses in the first quarter of 2009 for an aggregate cash consideration of approximately $0.4 million. We expect the divestiture of these businesses to slightly reduce revenues going forward, and increase profitability and cash flow. These businesses have been classified as discontinued operations in our condensed consolidated financial statements for the three and nine months ended as of September 28, 2008 and September 27, 2009.</w:t>
      </w:r>
    </w:p>
    <w:p>
      <w:pPr>
        <w:spacing w:after="0" w:line="167" w:lineRule="exact"/>
        <w:rPr>
          <w:sz w:val="20"/>
          <w:szCs w:val="20"/>
          <w:color w:val="auto"/>
        </w:rPr>
      </w:pPr>
    </w:p>
    <w:p>
      <w:pPr>
        <w:jc w:val="both"/>
        <w:ind w:right="280" w:firstLine="351"/>
        <w:spacing w:after="0" w:line="294" w:lineRule="auto"/>
        <w:rPr>
          <w:sz w:val="20"/>
          <w:szCs w:val="20"/>
          <w:color w:val="auto"/>
        </w:rPr>
      </w:pPr>
      <w:r>
        <w:rPr>
          <w:rFonts w:ascii="Arial" w:cs="Arial" w:eastAsia="Arial" w:hAnsi="Arial"/>
          <w:sz w:val="16"/>
          <w:szCs w:val="16"/>
          <w:color w:val="auto"/>
        </w:rPr>
        <w:t>On December 24, 2008 we acquired Huntsville, Alabama based Digital Fusion, Inc. (DFI). DFI provides C4ISR and technical engineering services, UAV products and technology and has significant engineering, exotic sensor and modeling and simulation capabilities. The acquisition of DFI provides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total stock for stock transaction was valued at approximately $37.0 million, including transaction costs of $0.9 million. We issued 2.3 million shares to DFI shareholders and assumed outstanding DFI options, which resulted in the assumption of options to acquire approximately 1.0 million Kratos shares. The value of the purchase price related to the common stock issued was derived from the number of shares of Kratos common stock issued of 2.3 million, based on 12.8 million shares of DFI common stock outstanding and the exchange ratio of 0.17933 for each DFI share, at a price of $12.70 per share, the average closing price of Kratos shares of common stock for the two days prior to, including, and the two days subsequent to the public announcement of the merger on November 24, 2008. The fair value of the options assumed that were allocated to goodwill based upon the Black-Scholes pricing model was $7.0 million. The fair value of unvested options which are related to future service will be expensed as the service is performed.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 complete description of our business and a discussion of our complete critical accounting matters, please refer to Item 7, "Management's Discussion and Analysis of Financial Condition and Results of Operations," in our 2008 Annual Report on Form 10-K filed with the Securities and Exchange Commission on March 10, 2009.</w:t>
      </w:r>
    </w:p>
    <w:p>
      <w:pPr>
        <w:spacing w:after="0" w:line="194"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On September 10, 2009, we completed a 1-for-10 reverse split of our common stock. All common stock, stock options, and warrants to purchase common stock and earnings per share amounts have been retroactively restated as if the reverse stock split occurred at the beginning of the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27, 2009, we consider the following factors to be important in understanding our financial statements.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w:t>
      </w:r>
      <w:r>
        <w:rPr>
          <w:rFonts w:ascii="Arial" w:cs="Arial" w:eastAsia="Arial" w:hAnsi="Arial"/>
          <w:sz w:val="16"/>
          <w:szCs w:val="16"/>
          <w:i w:val="1"/>
          <w:iCs w:val="1"/>
          <w:color w:val="auto"/>
        </w:rPr>
        <w:t>FASB ASC Topic 605 Revenue Recognition</w:t>
      </w:r>
      <w:r>
        <w:rPr>
          <w:rFonts w:ascii="Arial" w:cs="Arial" w:eastAsia="Arial" w:hAnsi="Arial"/>
          <w:sz w:val="16"/>
          <w:szCs w:val="16"/>
          <w:color w:val="auto"/>
        </w:rPr>
        <w:t>. For contracts offered on a time and material basis, we recognize revenues as services are performed.</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28, 2008 to the Three Months Ended September 27, 2009</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$8.2 million from $77.9 million for the three months ended September 28, 2008 to $86.1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27, 2009. This increase was primarily due to $15.2 million in aggregate revenues from DFI, which was acquired on December 24, 2008, partially offset by reductions in our commercial and public safety &amp; security system integration business, which was negatively impacted by the current adverse economic environment, the substantial completion of a weapons system contract, and the planned reductions of acquired small business set aside contract work, pass through work and other contract work in our Government Solutions segment. Revenues by operating segment for the three months ended September 28, 2008 and September 27, 2009 are as follows (in millions):</w:t>
      </w:r>
    </w:p>
    <w:p>
      <w:pPr>
        <w:spacing w:after="0" w:line="22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440" w:type="dxa"/>
            <w:vAlign w:val="bottom"/>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r>
      <w:tr>
        <w:trPr>
          <w:trHeight w:val="21"/>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r>
      <w:tr>
        <w:trPr>
          <w:trHeight w:val="27"/>
        </w:trPr>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$60.7 million for the three months ended September 28, 2008 to $68.4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2009. The $7.7 million increase in cost of revenues was primarily a result of the increase in aggregate cost of revenues of $12.6 million from DFI, partially offset by reduced costs related to the reductions in revenues described above. Gross margin decreased from 22.1% for the three months ended September 28, 2008 to 20.6% for the three months ended September 27, 2009. The decrease in gross margin primarily resulted from a change in the mix of revenues.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from $13.1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2008 to $13.3 million for the three months ended September 27, 2009. The increase was primarily a result of $1.0 million in increased costs as a result of the DFI acquisition offset by reduction in corporate expenses and cost reductions in the PSS segment. As a percentage of revenues, SG&amp;A decreased from 16.8% to 15.5%. Excluding amortization of intangibles of $1.3 million for the three months ended September 28, 2008 and amortization of intangibles of $1.5 million for the three months ended September 27, 2009, SG&amp;A decreased as a percentage of revenues from 15.1% to 13.7% for the three months ended September 28,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2008 and September 27, 2009, respectively, reflecting cost reductions and leverage on our increased revenues.</w:t>
      </w:r>
    </w:p>
    <w:p>
      <w:pPr>
        <w:spacing w:after="0" w:line="225"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i w:val="1"/>
          <w:iCs w:val="1"/>
          <w:color w:val="auto"/>
        </w:rPr>
        <w:t xml:space="preserve">Recovery of Unauthorized Issuance of Stock Options, Stock Option Investigation and Related Fees and Settlement of Derivative Lawsuit. </w:t>
      </w:r>
      <w:r>
        <w:rPr>
          <w:rFonts w:ascii="Arial" w:cs="Arial" w:eastAsia="Arial" w:hAnsi="Arial"/>
          <w:sz w:val="15"/>
          <w:szCs w:val="15"/>
          <w:color w:val="auto"/>
        </w:rPr>
        <w:t>In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2008, our directors and officers liability insurance carriers agreed to reimburse us for $1.0 million related to fees previously incurred with respect to the investigation by the U.S. Attorney's Office and was recorded as a credit in the three-month period ended September 28, 2008. In September 2009, we reached an agreement with the plaintiffs to settle the outstanding 2004 and 2007 derivative lawsuits. We had previously accrued $0.7 million related to the estimated settlement of this matter and in the three months ended September 27, 2009, we recorded a reduction to the estimated accrued settlement amount of $0.5 million as a result of the settlement agreement. See Note 13 to the Notes to the Consolidated Financial Statements for a further discussion of the derivative lawsuits.</w:t>
      </w:r>
    </w:p>
    <w:p>
      <w:pPr>
        <w:spacing w:after="0" w:line="159"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i w:val="1"/>
          <w:iCs w:val="1"/>
          <w:color w:val="auto"/>
        </w:rPr>
        <w:t xml:space="preserve">Impairment of Assets and Adjustments to the Liability for Unused Office Space. </w:t>
      </w:r>
      <w:r>
        <w:rPr>
          <w:rFonts w:ascii="Arial" w:cs="Arial" w:eastAsia="Arial" w:hAnsi="Arial"/>
          <w:sz w:val="18"/>
          <w:szCs w:val="18"/>
          <w:color w:val="auto"/>
        </w:rPr>
        <w:t>The expense of $0.3 million for the three months ended September 28,</w:t>
      </w:r>
      <w:r>
        <w:rPr>
          <w:rFonts w:ascii="Arial" w:cs="Arial" w:eastAsia="Arial" w:hAnsi="Arial"/>
          <w:sz w:val="18"/>
          <w:szCs w:val="18"/>
          <w:i w:val="1"/>
          <w:iCs w:val="1"/>
          <w:color w:val="auto"/>
        </w:rPr>
        <w:t xml:space="preserve"> </w:t>
      </w:r>
      <w:r>
        <w:rPr>
          <w:rFonts w:ascii="Arial" w:cs="Arial" w:eastAsia="Arial" w:hAnsi="Arial"/>
          <w:sz w:val="18"/>
          <w:szCs w:val="18"/>
          <w:color w:val="auto"/>
        </w:rPr>
        <w:t>2008 was comprised of the write-off of fees related to our withdrawal of our previously filed Form S-3 and S-4 shelf registration statements which could no longer be used as a result of a change in regulations, partially offset by a favorable adjustment to our unused office space accrual as the result of a sublease of additional space at our corporate office.</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(R&amp;D) decreased from $0.5 million for the three months ended September 28,</w:t>
      </w:r>
      <w:r>
        <w:rPr>
          <w:rFonts w:ascii="Arial" w:cs="Arial" w:eastAsia="Arial" w:hAnsi="Arial"/>
          <w:sz w:val="18"/>
          <w:szCs w:val="18"/>
          <w:i w:val="1"/>
          <w:iCs w:val="1"/>
          <w:color w:val="auto"/>
        </w:rPr>
        <w:t xml:space="preserve"> </w:t>
      </w:r>
      <w:r>
        <w:rPr>
          <w:rFonts w:ascii="Arial" w:cs="Arial" w:eastAsia="Arial" w:hAnsi="Arial"/>
          <w:sz w:val="18"/>
          <w:szCs w:val="18"/>
          <w:color w:val="auto"/>
        </w:rPr>
        <w:t>2008 to $0.4 million for the three months ended September 27, 2009.</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decreased from $2.9 million to $2.2 million for the three months ended September 28, 2008 and September 27,</w:t>
      </w:r>
      <w:r>
        <w:rPr>
          <w:rFonts w:ascii="Arial" w:cs="Arial" w:eastAsia="Arial" w:hAnsi="Arial"/>
          <w:sz w:val="16"/>
          <w:szCs w:val="16"/>
          <w:i w:val="1"/>
          <w:iCs w:val="1"/>
          <w:color w:val="auto"/>
        </w:rPr>
        <w:t xml:space="preserve"> </w:t>
      </w:r>
      <w:r>
        <w:rPr>
          <w:rFonts w:ascii="Arial" w:cs="Arial" w:eastAsia="Arial" w:hAnsi="Arial"/>
          <w:sz w:val="16"/>
          <w:szCs w:val="16"/>
          <w:color w:val="auto"/>
        </w:rPr>
        <w:t>2009, respectively. The decrease in expense of $0.7 million is primarily related to a decrease in interest expense of $0.5 million and a decrease of $0.2 million in other expense primarily related to the non-cash charges to mark the derivative related to the credit facility to market.</w:t>
      </w:r>
    </w:p>
    <w:p>
      <w:pPr>
        <w:spacing w:after="0" w:line="16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Income taxes changed from a provision of $0.5 million, or a 36% rate, on income of $1.4 million before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the three months ended September 28, 2008 to a benefit of $0.1 million, or a negative 4% rate, on income of $2.3 million before income taxes for the three months ended September 27, 2009. The provision for the three months ended September 28, 2008 was primarily due to the increase in the deferred tax liability related to the temporary differences on indefinite life intangibles that were not offset by deferred tax assets due to the full valuation allowance we have recorded on these assets and certain state taxes. The benefit for the three months ended September 27, 2009 was primarily due to the true-up of prior-year estimates in the financial statement tax provision to the tax returns actually filed for the year.</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(loss) from discontinued operations improved from a loss of $1.1 million to income of $0.3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28, 2008 and September 27, 2009, respectively. The income of $0.3 million for the three months ended September 27, 2009 was primarily due to a reduction in liabilities as a result of the final settlement of sales and use tax liabilities related to our discontinued wireless deployment business. Revenues generated by these businesses were approximately $3.6 million and $1.5 million for the three months ended September 28, 2008 and September 27, 2009, respectively. Loss before taxes was $1.3 million for the three months ended September 28, 2008 and income of $0.3 million for the three months ended September 27, 2009. The tax benefit of $0.2 million for the three months ended September 28, 2008 was primarily related to foreign exchange adjustments and additional interest accrued for certain foreign tax contingencies.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28, 2008 to the Nine Months Ended September 27, 2009</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$46.4 million from $212.9 million for the nine months ended September 28, 2008 to $259.3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27, 2009. This increase was primarily due to $74.7 million in revenues from SYS and DFI, which were acquired on June 28, 2008 and December 24, 2008, respectively, partially offset by aggregate reductions in our commercial and public safety &amp; security system integration business, which was negatively impacted by the current adverse economic environment, the substantial completion of a weapons system contract, and the planned reductions of acquired small business set aside contract work, pass through work and other contract work in our Government Solutions segment. Revenues by operating segment for the nine months ended September 28, 2008 and September 27, 2009 are as follows (in millions):</w:t>
      </w:r>
    </w:p>
    <w:p>
      <w:pPr>
        <w:spacing w:after="0" w:line="22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44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r>
      <w:tr>
        <w:trPr>
          <w:trHeight w:val="21"/>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r>
      <w:tr>
        <w:trPr>
          <w:trHeight w:val="27"/>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$171.0 million for the nine months ended September 28, 2008 to $207.0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27, 2009. The $36.0 million increase in cost of revenues was primarily a result of the increase in cost of revenues of $63.0 million from SYS and DFI, offset by reduced costs related to the reductions in revenues previously discussed. Gross margin increased from 19.7% to 20.2% for the nine months ended September 28, 2008 and September 27, 2009, respectively. The increase in gross margin primarily resulted from a reduction in pass through work which has a lower margin and improved operating performance in the Government Solutions segment.</w:t>
      </w:r>
    </w:p>
    <w:p>
      <w:pPr>
        <w:spacing w:after="0" w:line="170"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(SG&amp;A) increased from $34.8 million for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28, 2008 to $39.7 million for the nine months ended September 27, 2009. The increase was primarily a result of $4.3 million in increased costs from the SYS and DFI acquisitions and increased stock compensation expense of $0.3 million. As a percentage of revenues, SG&amp;A decreased from 16.3% to</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15.3%. Excluding amortization of intangibles of $3.5 million for the nine months ended September 28, 2008 and amortization of intangibles of $4.4 million for the nine months ended September 27, 2009, SG&amp;A decreased as a percentage of revenues from 14.7% to 13.6% for the nine months ended September 28, 2008 and September 27, 2009, respectively, reflecting leverage on our increased revenues.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Recovery of Unauthorized Issuance of Stock Options, Stock Option Investigation and Related Fees and Settlement of Derivative Litigation. </w:t>
      </w:r>
      <w:r>
        <w:rPr>
          <w:rFonts w:ascii="Arial" w:cs="Arial" w:eastAsia="Arial" w:hAnsi="Arial"/>
          <w:sz w:val="18"/>
          <w:szCs w:val="18"/>
          <w:color w:val="auto"/>
        </w:rPr>
        <w:t>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$1.6 million in the nine months ended September 28, 2008 is a result of our insurance carriers agreeing to reimburse us for costs previously expensed. In June 2008, our insurance carrier agreed to reimburse us for $0.6 million related to the theft of stock options. In September 2008, our directors' and officers' liability insurers agreed to reimburse us for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$1.0 million related to fees previously incurred on the investigation of historical stock option grants by the U.S. Attorney's Office. In September 2009, we reached an agreement with the plaintiffs to settle the outstanding 2004 and 2007 derivative lawsuits. We had previously accrued $0.7 million related to the estimated settlement of this matter and in the third quarter of 2009 we recorded a reduction to that estimated settlement amount of $0.5 million as a result of the settlement agreement. See Note 13 to the Notes to the Consolidated Financial Statements for a further discussion of the derivative lawsuits.</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i w:val="1"/>
          <w:iCs w:val="1"/>
          <w:color w:val="auto"/>
        </w:rPr>
        <w:t xml:space="preserve">Impairment of Assets and Adjustment to the Liability for Unused Office Space. </w:t>
      </w:r>
      <w:r>
        <w:rPr>
          <w:rFonts w:ascii="Arial" w:cs="Arial" w:eastAsia="Arial" w:hAnsi="Arial"/>
          <w:sz w:val="18"/>
          <w:szCs w:val="18"/>
          <w:color w:val="auto"/>
        </w:rPr>
        <w:t>The benefit in the nine months ended September 28, 2008 of $0.3 million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result of a change in estimate of our excess facility accrual for obligations under facility leases. As a result of the SYS acquisition, we determined that a portion of our corporate facility would be used commencing in the third quarter of 2008. This was partially offset by a write-off of fees related to our withdrawal of our previously filed Form S-3 and S-4 registration statements filed in 2004 which were no longer able to be used as a result of a change in regulations. For the nine months ended September 27, 2009, we recorded an expense of $0.6 million in our excess facility accrual as a result of the consolidation of space at our corporate headquarters following the sale of the SYS commercial businesses and as a result of the cancellation of a sublease of one of our tenants due to financial difficulties.</w:t>
      </w:r>
    </w:p>
    <w:p>
      <w:pPr>
        <w:spacing w:after="0" w:line="201" w:lineRule="exact"/>
        <w:rPr>
          <w:sz w:val="20"/>
          <w:szCs w:val="20"/>
          <w:color w:val="auto"/>
        </w:rPr>
      </w:pPr>
    </w:p>
    <w:p>
      <w:pPr>
        <w:ind w:left="360"/>
        <w:spacing w:after="0"/>
        <w:tabs>
          <w:tab w:leader="none" w:pos="3180" w:val="left"/>
        </w:tabs>
        <w:rPr>
          <w:sz w:val="20"/>
          <w:szCs w:val="20"/>
          <w:color w:val="auto"/>
        </w:rPr>
      </w:pPr>
      <w:r>
        <w:rPr>
          <w:rFonts w:ascii="Arial" w:cs="Arial" w:eastAsia="Arial" w:hAnsi="Arial"/>
          <w:sz w:val="18"/>
          <w:szCs w:val="18"/>
          <w:i w:val="1"/>
          <w:iCs w:val="1"/>
          <w:color w:val="auto"/>
        </w:rPr>
        <w:t>Research and Development Expenses.</w:t>
      </w:r>
      <w:r>
        <w:rPr>
          <w:sz w:val="20"/>
          <w:szCs w:val="20"/>
          <w:color w:val="auto"/>
        </w:rPr>
        <w:tab/>
      </w:r>
      <w:r>
        <w:rPr>
          <w:rFonts w:ascii="Arial" w:cs="Arial" w:eastAsia="Arial" w:hAnsi="Arial"/>
          <w:sz w:val="15"/>
          <w:szCs w:val="15"/>
          <w:color w:val="auto"/>
        </w:rPr>
        <w:t>Research and development expenses (R&amp;D) increased from $0.5 million for the nine months ended September 28,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2008 to $1.3 million for the nine months ended September 27, 2009 as a result of the R&amp;D expenses incurred by SYS and DFI, which were acquired on June 28,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and December 24, 2008, respectively.</w:t>
      </w:r>
    </w:p>
    <w:p>
      <w:pPr>
        <w:spacing w:after="0" w:line="219"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The impairment charge of $41.3 million for the nine months ended September 27, 2009, is primarily driven by adverse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conditions that caused a decrease in current market multiples and our average stock price as of February 28, 2009, compared with the impairment test performed as of December 28, 2008. In our analysis, we use the income approach and validate its reasonableness by considering our market capitalization based upon an average of our stock price for a period prior to and subsequent to the date we perform our analysis. The average market price of our stock as of February 28, 2009 was $7.80 which equates to a 39% drop in our average stock price and corresponding market capitalization from December 28, 2008 which had an average stock price of $12.90.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we are not subject to significant short term changes in operating cash flow. Moreover, because of the nature of our current business we do not have significant capital expenditure requirements. Additionally, our contract base is highly diversified and the loss of any one contract would not impact revenues by more than 3%. In addition, we did not assume a recovery of the global or national economy in our cash flow projections in either analysis. The charge does not impact our normal business operations.</w:t>
      </w:r>
    </w:p>
    <w:p>
      <w:pPr>
        <w:spacing w:after="0" w:line="198"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$6.8 million to $7.9 million for the nine months ended September 28, 2008 and September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2009, respectively. The increase in expense of $1.1 million is primarily related to a $0.9 million increase in other expense primarily related to the non-cash charges to mark the derivative related to our credit facility to market. The increase in interest expense of $0.2 million was primarily related to an increase in interest expense for this derivative instrument.</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decreased from a provision of $1.4 million, or a 82% rate, on income of $1.7 million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for the nine months ended September 28, 2008 to a provision of $0.5 million, or a negative 1% rate, on a loss before income taxes of $38.3 million. The provision for the nine months ended September 28, 2008 was primarily due to the increase in the deferred tax liability related to the temporary differences on indefinite life intangibles that were not offset by deferred tax assets due to the full valuation allowance we have recorded on these assets and certain state taxes. The tax provision in the nine months ended September 27, 2009 was primarily due to state taxes for certain states that are filed on a stand-alone basis and minimum taxes that we are subject to regardless of our income.</w:t>
      </w:r>
    </w:p>
    <w:p>
      <w:pPr>
        <w:spacing w:after="0" w:line="174" w:lineRule="exact"/>
        <w:rPr>
          <w:sz w:val="20"/>
          <w:szCs w:val="20"/>
          <w:color w:val="auto"/>
        </w:rPr>
      </w:pPr>
    </w:p>
    <w:p>
      <w:pPr>
        <w:ind w:right="500" w:firstLine="351"/>
        <w:spacing w:after="0" w:line="303" w:lineRule="auto"/>
        <w:rPr>
          <w:sz w:val="20"/>
          <w:szCs w:val="20"/>
          <w:color w:val="auto"/>
        </w:rPr>
      </w:pPr>
      <w:r>
        <w:rPr>
          <w:rFonts w:ascii="Arial" w:cs="Arial" w:eastAsia="Arial" w:hAnsi="Arial"/>
          <w:sz w:val="15"/>
          <w:szCs w:val="15"/>
          <w:i w:val="1"/>
          <w:iCs w:val="1"/>
          <w:color w:val="auto"/>
        </w:rPr>
        <w:t xml:space="preserve">Loss from Discontinued Operations. </w:t>
      </w:r>
      <w:r>
        <w:rPr>
          <w:rFonts w:ascii="Arial" w:cs="Arial" w:eastAsia="Arial" w:hAnsi="Arial"/>
          <w:sz w:val="15"/>
          <w:szCs w:val="15"/>
          <w:color w:val="auto"/>
        </w:rPr>
        <w:t>Loss from discontinued operations increased from $1.6 million to $3.1 million for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28, 2008 and September 27, 2009, respectively. In 2009, $2.0 million of the loss was related to the impairment of assets related to the Southeast division of PSS recorded to reflect management's estimate of the fair value of this business. Revenues generated by these businesses were approximately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$9.1 million and $4.1 million for the nine months ended September 28, 2008 and September 27, 2009, respectively. Losses before taxes were $2.7 million for the nine months ended September 28, 2008 and $1.5 million excluding the impairment charge for the nine months ended September 27, 2009. For the nine months ended September 28, 2008 and September 27, 2009, we recognized a tax benefit of $1.1 million and $0.4 million, respectively, primarily related to the expiration of the statute of limitations for certain domestic and foreign tax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As of September 28, 2008, and September 27, 2009, our backlog was approximately $500 million and $620 million respectively, of which $150 million was funded in 2008 and $130 million in 2009.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(GSA) schedules beyond awarded or funded task orders, but our unfunded backlog does include estimates of revenue beyond awarded or funded task orders for other types of indefinite delivery, indefinite quantity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As of September 27, 2009, we had consolidated cash and cash equivalents of $10.9 million, consolidated long-term and short-term debt of $57.5 million, and consolidated stockholders' equity of $123.8 million. Our principal sources of liquidity are cash flows from operations and borrowings under our credit facility.</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41"/>
        <w:spacing w:after="0" w:line="268"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condensed consolidated statements of cash flows is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01"/>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cash provided by (used in) operating activities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r>
    </w:tbl>
    <w:p>
      <w:pPr>
        <w:spacing w:after="0" w:line="208"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Cash provided by operating activities from continuing operations for the nine months ended September 27, 2009 increased by $27.3 million from the nine months ended September 28, 2008, primarily as a result of increased cash collections on our accounts receivable balances resulting in the reduction of our Days Sales Outstanding from 107 days for the year ended December 28, 2008, to 85 days for the nine months ended September 27, 2009, partially offset by payments related to accrued liabilities.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used in investing activities from continuing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Cash paid for acquisitions, net of cash acquired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w w:val="93"/>
              </w:rPr>
              <w:t>Cash paid for contingent acquisition consideration</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8"/>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Proceeds/(payments) from the disposition of</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22"/>
        </w:trPr>
        <w:tc>
          <w:tcPr>
            <w:tcW w:w="38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38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Net cash used in investing activities from</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7"/>
        </w:trPr>
        <w:tc>
          <w:tcPr>
            <w:tcW w:w="3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During the nine months ended September 28, 2008, investing activities included proceeds received of $2.3 million from the settlement of the working capital amount owed by LCC on the sale of our domestic engineering operations which was substantially offset by cash paid of $2.0 million to Platinum Equity in partial settlement of the working capital adjustment for the sale of our wireless deployment business. We made payments of $2.1 million, net of $4.0 million of cash acquired, related to our Haverstick and SYS acquisitions and payments of $1.5 million in our restricted cash accounts as a result of the first amendment to our credit facility in March 2008, which required us to set aside proceeds from the recovery of the theft of stock options in a restricted account to fund the legal settlements related to our securities lawsuits.</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for the nine months ended September 27, 2009 as a result of the implementation of our strategies to diversify our business while focusing on our core competencies. During the nine months ended September 27, 2009, we made the final holdback payment of $2.4 million for the MRC acquisition and the first holdback payment of $0.6 million related to the Haverstick acquisition. The final holdback payment of $0.6 million related to the Haverstick acquisition was made on October 1, 2009.</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During the nine months ended September 27, 2009, we also made the final payments related to the sale of our domestic wireless deployment business of $2.8 million to Platinum Equity. These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40"/>
        <w:spacing w:after="0"/>
        <w:rPr>
          <w:sz w:val="20"/>
          <w:szCs w:val="20"/>
          <w:color w:val="auto"/>
        </w:rPr>
      </w:pPr>
      <w:r>
        <w:rPr>
          <w:rFonts w:ascii="Arial" w:cs="Arial" w:eastAsia="Arial" w:hAnsi="Arial"/>
          <w:sz w:val="15"/>
          <w:szCs w:val="15"/>
          <w:color w:val="auto"/>
        </w:rPr>
        <w:t>payments were partially offset by proceeds of $0.4 million related to the sale of our discontinued SYS commercial businesses.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common stock</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r>
      <w:tr>
        <w:trPr>
          <w:trHeight w:val="222"/>
        </w:trPr>
        <w:tc>
          <w:tcPr>
            <w:tcW w:w="3860" w:type="dxa"/>
            <w:vAlign w:val="bottom"/>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38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activities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3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28, 2008, cash provided by financing activities was primarily related to borrowing on our credit facility.</w:t>
      </w:r>
    </w:p>
    <w:p>
      <w:pPr>
        <w:spacing w:after="0" w:line="248"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On September 2, 2009, we completed the sale of 2.6 million shares of common stock at $7.20 per share in a registered direct public offering. The offering provided gross proceeds of $18.7 million and net proceeds of $17.5 million. Expenses of $0.2 million related to the offering will not be paid until the fourth quarter of 2009. We used the proceeds of the sale of the common stock to reduce debt on our revolver. As a result of the settlement agreement we executed with the lenders on our Credit Facility, on October 16, 2009, we reborrowed $17.5 million on our revolver and paid down $17.5 million in debt on the first lien term note at par with no prepayment penalty or make whole payment. On October 16, 2009, we also paid $0.5 million in fees to the lenders as a result of the Third Amendment to the Credit Agreement that was part of the Settlement Agreement. See Note 8 to the Notes to the Consolidated Financial Statements for a further discussion of the Settlement Agreement and Third Amendment to our Credit Facility.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$17.5 million extinguishment of the first lien term loan in October 2009, we expect to accelerate the amortization of approximately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$0.7 million in deferred financing costs as interest expense in the fourth quarter of 2009. The $0.5 million in fees paid to the lenders in October will be amortized over the remaining term of the Credit Facility.</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cash flows used by discontinued operations increased by $0.8 million primarily as a result of the use of cash by the SYS commercial businesses which were sold during the first quarter of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In connection with our historical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such amounts are accrued, and therefore, recorded when the contingency is resolved beyond a reasonable doubt and, hence, the additional consideration becomes payable. As of September 27,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 have accrued $0.6 million of cash holdback and approximately 140,000 shares of stock holdback which is the final holdback related to the Haverstick acquisition. This was paid on October 1, 2009.</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a credit facility of $85.0 million with KeyBank National Association ("KeyBank") as administrative agent. This credit facility provides for two term loans consisting of a first lien term note of $50.0 million and a second lien term note of $10.0 million, as well as a first lien $25.0 million revolving line of credit. KeyBank holds the revolving line of credit and the second lien term note. Field Point III, Ltd. and SPF CDO I, Ltd., both affiliates of Silverpoint Capital LP ("Silverpoint"), holds the first lien term note. The $10.0 million term loan has a five and one half-year term with principal payments of $25,000 required quarterly beginning on March 31, 2008 through March 31, 2013 with the final balance of $9.5 million due on June 30, 2013. The $50.0 million term loan has a five 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four year term which expires on December 31, 2012.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8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As of September 27, 2009, our outstanding balance on the facility was $56.5 million and the weighted average interest rate on the debt as of September 27, 2009 was 11.59%. As of September 27, 2009, the unused credit under the revolving line of credit was approximately $20.9 million. The only restriction on the use of these funds is that we must be in compliance with covenants of the credit facility. We were in compliance with all covenants under the credit facility as of September 27, 2009.</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June 4, 2009, we filed a complaint in the United States District Court for the Northern District of Ohio against the lenders under our credit agreement, Field Point III, Ltd. and SPF CDO I, Ltd., both affiliates of Silverpoint, and KeyBank National Association seeking equitable relief in the form of reformation of an error in a contract schedule, declaratory relief and damages. On October 16, 2009, the parties executed a Settlement Agreement related to this complaint and a Third Amendment to our Credit Agreement. Among other things, the Settlement Agreement and Third Amendment:</w:t>
      </w:r>
    </w:p>
    <w:p>
      <w:pPr>
        <w:spacing w:after="0" w:line="18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reform the error in the minimum liquidity ratio in accordance with our request;</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the net proceeds from the offering on September 2, 2009 must be used to reduce the first term loan at par with no prepayment penalty or make whole payments;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if we refinance the remaining balance of the first lien term loan by March 12, 2010, the extinguishment of the term loan will be at par with no prepayment penalty or make whole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 the term on the revolving line of credit by one year to December 31, 2012;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pay a $0.5 million fee to its lenders.</w:t>
      </w:r>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of September 27, 2009, the $17.5 million net proceeds from our public offering had been used to reduce the balance on our revolving line of credit. On October 16, 2009, we borrowed $17.5 million from our revolving line of credit to make the payment of $17.5 million on the first lien term loan in accordance with the terms of the Settlement Agreement and the Third Amendment to the Credit Agreement and we made the payment of the $0.5 million in fees to the lenders.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of November 3, 2009, the balance on the first lien term loan was $26.2 million, the balance on the second lien term loan was $9.9 million, and the balance on the revolving line of credit was $20.4 million, with $1.2 million of letter of credit outstanding and $3.4 million available.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28, 2008, we had outstanding convertible notes payable totaling $3.1 million which were acquired as a result of the SYS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$0.8 million was payable to related parties. The convertible notes payable are unsecured and subordinated to our bank debt and bear interest at 10%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payable quarterly. Principal was due February 14, 2009 and the notes were convertible at any time into shares of common stock at a conversion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$28.60 per share. In February 2009, in the interest of preserving cash due to the current macroeconomic conditions, the Company provided each note holder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option to:</w:t>
      </w:r>
    </w:p>
    <w:p>
      <w:pPr>
        <w:spacing w:after="0" w:line="23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$28.60 per share or the Kratos closing share value on February 13, 2009; or</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$28.60 or the Kratos closing share value on February 13, 2009 less a 10% discount.</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September 27, 2009, $2.1 million of the notes had been paid and $1.0 million of the notes had been extended to August 14, 2010. The balance of the outstanding notes of $1.0 million, which is potentially convertible into common stock of Kratos at $10.20 per share or approximately 94,000 shares, is reflected in the current portion of long-term debt in the accompanying condensed consolidated balance sheets.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July 16, 2008, we came to an agreement with Platinum Equity on a working capital adjustment of $5.0 million related to the sale of our wireless deployment business. In connection with that resolution, the earn-out arrangement was terminated. The adjustment was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of 2008, with an additional $0.5 million paid in December 2008. In March 2009, we paid $1.5 million of the working capital adjustment. On August 4, 2009, we paid $1.3 million in full settlement of amounts due to Platinum Equity.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intend to fund our cash requirements with cash flows from operating activities, borrowings under our current credit facilities and potential future credit facilities. We believe these sources should be sufficient to meet our cash needs for at least the next 12 months. We expect that the acquired businesses of SYS and DFI, which were not included in our 2008 cash flows until the date of acquisition, will contribute additional working capital and cash flows.</w:t>
      </w:r>
    </w:p>
    <w:p>
      <w:pPr>
        <w:spacing w:after="0" w:line="16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2008, we paid approximately $4.8 million related to the 2004 and 2007 securities litigation settlements, as discussed in Note 13—Legal Matters to the unaudited consolidated financial statements included in Item 1 of Part I of this Quarterly Report. This amount was partially funded by $2.2 million from the restricted cash account we were required to fund as a result of the first amendment to our current credit facility. We also funded $5.5 million in 2008 for legal fees incurred on our internal stock option investigation which we completed in 2007. In addition, if we become subject to significant judgments, settlements, or fines related to the matters discussed in Note 13—Legal Matters, or any other matters, or incur legal fees in excess of our current expectations, we could be required to make significant payments that could materially and adversely affect our financial condition, potentially impacting our ability to access the capital markets and maintain compliance with our debt covenants.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On September 2, 2009, we sold 2.6 million shares of our common stock to institutional investors at a purchase price of $7.20 in a registered direct public offering. We received gross proceeds of $18.7 million. After deducting placement agent fees and other offering expenses, some of which will not be paid until the fourth quarter of 2009, we received $17.5 million in net proceeds. We used the net proceeds from this transaction to repay existing indebtedness.</w:t>
      </w:r>
    </w:p>
    <w:p>
      <w:pPr>
        <w:spacing w:after="0" w:line="16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discussed in Part II, Item 1A, "Risk Factors"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are changes in the status of litigation that results in payment of significant settlements or increased accruals for contingent liabilities,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and we could be unable to make a scheduled debt payment. We currently carry a significant amount of debt and have experienced recurring losses and negative cash flows from continuing operations. Given the highly leveraged liquidity position, any down-turn in our operating earnings or cash flows could impair our ability to comply with the financial covenants of our existing credit facility. Our ability to execute on additional business opportunities may be limited due to existing borrowing capacity. If we believe a covenant violation is more than likely to occur in the near future, we would seek relief from our lenders. This relief, if available, would have some cost to us and such relief might not be on terms as favorable as those in the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7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9"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credit agreements contain covenants which impose certain restrictions on our ability to, among other things, incur additional debt, pay dividends, make investments or sell assets. Additionally, certain non-recurring cash inflows such as proceeds from asset sales, insurance recoveries, and equity offerings may have to be used to reduce indebtedness and may not be reborrowed. In addition, the credit agreements contain certain financial covenants which are defined by the terms of the agreements. As of September 27, 2009, we were in compliance with all financial covenants under the credit agreements.</w:t>
      </w:r>
    </w:p>
    <w:p>
      <w:pPr>
        <w:spacing w:after="0" w:line="16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September 27, 2009, the $17.5 million net proceeds from our registered direct public offering had been used to reduce the balance on our revolving line of credit. On October 16, 2009, we borrowed $17.5 million from its revolving line of credit to make the payment of $17.5 million on the first lien term loan in accordance with the terms of the Settlement Agreement and the Third Amendment to the Credit Agreement and we made the payment of the $0.5 million in fees to the lenders which will be amortized as deferred financing costs over the remaining term of the Credit Agreement. As a result of the $17.5 million payment on the first lien term loan, the unamortized deferred financing costs of $0.7 million related to this payment will be expensed in the fourth quarter of 2009.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There have been no significant changes to our Critical Accounting Policies or Estimates during 2009. Refer to our Critical Accounting Policies and Estimates in Form 10-K for the year ended December 28, 2008, as filed with the Securities and Exchange Commission on March 10, 2009.</w:t>
      </w:r>
    </w:p>
    <w:p>
      <w:pPr>
        <w:spacing w:after="0" w:line="13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We perform our impairment test for goodwill in accordance with</w:t>
      </w:r>
      <w:r>
        <w:rPr>
          <w:rFonts w:ascii="Arial" w:cs="Arial" w:eastAsia="Arial" w:hAnsi="Arial"/>
          <w:sz w:val="18"/>
          <w:szCs w:val="18"/>
          <w:i w:val="1"/>
          <w:iCs w:val="1"/>
          <w:color w:val="auto"/>
        </w:rPr>
        <w:t xml:space="preserve"> FASB ASC Topic 350 Intangibles—Goodwill and Other</w:t>
      </w:r>
      <w:r>
        <w:rPr>
          <w:rFonts w:ascii="Arial" w:cs="Arial" w:eastAsia="Arial" w:hAnsi="Arial"/>
          <w:sz w:val="18"/>
          <w:szCs w:val="18"/>
          <w:color w:val="auto"/>
        </w:rPr>
        <w:t>. We assess goodwill for impairment at the reporting unit level, which is defined as an operating segment or one level below an operating segment,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a component. We determine our reporting units by fist identifying our operating segments, and then assess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For our December 28, 2008 annual impairment assessment and our interim test as of February 28, 2009, we identified our reporting units to be our operating segments which are Government Solutions and Public Safety and Security.</w:t>
      </w:r>
    </w:p>
    <w:p>
      <w:pPr>
        <w:spacing w:after="0" w:line="20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use the income approach, specifically the discounted cash flow (DCF) method, to derive the fair value of each of our reporting units and in order to validate the reasonableness of the income approach, we consider the market approach, which estimates the fair value of our reporting units based upon comparable market prices to validate the reasonableness of the implied multiples from the income approach. We also consider our market capitalization based upon an average of our stock price prior to and subsequent to the date we perform our analysis and reconcile the fair value of our reporting units to our market capitalization assuming a control premium.</w:t>
      </w:r>
    </w:p>
    <w:p>
      <w:pPr>
        <w:spacing w:after="0" w:line="17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applying the income approach to our impairment test for goodwill, we make assumptions about the amount and timing of future expected cash flows; terminal growth rates, appropriate discount rates, and the control premium a controlling shareholder could be expected to pay:</w:t>
      </w:r>
    </w:p>
    <w:p>
      <w:pPr>
        <w:spacing w:after="0" w:line="153" w:lineRule="exact"/>
        <w:rPr>
          <w:sz w:val="20"/>
          <w:szCs w:val="20"/>
          <w:color w:val="auto"/>
        </w:rPr>
      </w:pPr>
    </w:p>
    <w:p>
      <w:pPr>
        <w:ind w:left="1080" w:hanging="532"/>
        <w:spacing w:after="0" w:line="28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and the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73" w:lineRule="exact"/>
        <w:rPr>
          <w:rFonts w:ascii="Arial" w:cs="Arial" w:eastAsia="Arial" w:hAnsi="Arial"/>
          <w:sz w:val="16"/>
          <w:szCs w:val="16"/>
          <w:color w:val="auto"/>
        </w:rPr>
      </w:pPr>
    </w:p>
    <w:p>
      <w:pPr>
        <w:ind w:left="1080" w:right="120"/>
        <w:spacing w:after="0" w:line="254" w:lineRule="auto"/>
        <w:rPr>
          <w:rFonts w:ascii="Arial" w:cs="Arial" w:eastAsia="Arial" w:hAnsi="Arial"/>
          <w:sz w:val="16"/>
          <w:szCs w:val="16"/>
          <w:color w:val="auto"/>
        </w:rPr>
      </w:pPr>
      <w:r>
        <w:rPr>
          <w:rFonts w:ascii="Arial" w:cs="Arial" w:eastAsia="Arial" w:hAnsi="Arial"/>
          <w:sz w:val="18"/>
          <w:szCs w:val="18"/>
          <w:color w:val="auto"/>
        </w:rPr>
        <w:t>The current economic conditions have negatively impacted our Public Safety and Security reporting unit's projected growth rates and cash flows as customers have delayed or cancelled capital expenditures related to the systems we provide. However, this reporting unit has no goodwill, it is significantly smaller than our Government Solutions segment (for the quarter ended March 28, 2009, it generated 11.3% of our total consolidated revenues) and our goodwill impairment analysis is not materially affected by changes in the expected cash flows for this reporting unit. Current economic conditions have not significantly impacted our estimates of cash flows in our Government Solutions reporting unit which primarily provides services to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94" w:lineRule="auto"/>
        <w:rPr>
          <w:sz w:val="20"/>
          <w:szCs w:val="20"/>
          <w:color w:val="auto"/>
        </w:rPr>
      </w:pPr>
      <w:r>
        <w:rPr>
          <w:rFonts w:ascii="Arial" w:cs="Arial" w:eastAsia="Arial" w:hAnsi="Arial"/>
          <w:sz w:val="16"/>
          <w:szCs w:val="16"/>
          <w:color w:val="auto"/>
        </w:rPr>
        <w:t>federal government and the DoD. Our contracts are long term in nature and are supported by significant backlog. Because our contracts are of a long term nature, a majority of our receivables are with agencies within the U. S. government or we are a subcontractor to a customer whose receivables are with the agencies within the U.S. government, we are not subject to significant short term changes in operating cash flow. As a result of our current business model, we do not have significant capital expenditure requirements. Additionally, our contract base is highly diversified and the loss of any one contract would not impact annual revenues by more than 3%.</w:t>
      </w:r>
    </w:p>
    <w:p>
      <w:pPr>
        <w:spacing w:after="0" w:line="183" w:lineRule="exact"/>
        <w:rPr>
          <w:sz w:val="20"/>
          <w:szCs w:val="20"/>
          <w:color w:val="auto"/>
        </w:rPr>
      </w:pPr>
    </w:p>
    <w:p>
      <w:pPr>
        <w:ind w:left="1080" w:right="3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We use an estimated control premium in reconciling the aggregate value of our reporting units to our market capitalization. As discussed in </w:t>
      </w:r>
      <w:r>
        <w:rPr>
          <w:rFonts w:ascii="Arial" w:cs="Arial" w:eastAsia="Arial" w:hAnsi="Arial"/>
          <w:sz w:val="16"/>
          <w:szCs w:val="16"/>
          <w:i w:val="1"/>
          <w:iCs w:val="1"/>
          <w:color w:val="auto"/>
        </w:rPr>
        <w:t>FASB</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350 Intangibles—Goodwill and Other</w:t>
      </w:r>
      <w:r>
        <w:rPr>
          <w:rFonts w:ascii="Arial" w:cs="Arial" w:eastAsia="Arial" w:hAnsi="Arial"/>
          <w:sz w:val="16"/>
          <w:szCs w:val="16"/>
          <w:color w:val="auto"/>
        </w:rPr>
        <w:t>, control premiums may effectively cause a company's aggregate fair value of its reporting unit(s)</w:t>
      </w:r>
      <w:r>
        <w:rPr>
          <w:rFonts w:ascii="Arial" w:cs="Arial" w:eastAsia="Arial" w:hAnsi="Arial"/>
          <w:sz w:val="16"/>
          <w:szCs w:val="16"/>
          <w:i w:val="1"/>
          <w:iCs w:val="1"/>
          <w:color w:val="auto"/>
        </w:rPr>
        <w:t xml:space="preserve"> </w:t>
      </w:r>
      <w:r>
        <w:rPr>
          <w:rFonts w:ascii="Arial" w:cs="Arial" w:eastAsia="Arial" w:hAnsi="Arial"/>
          <w:sz w:val="16"/>
          <w:szCs w:val="16"/>
          <w:color w:val="auto"/>
        </w:rPr>
        <w:t>to exceed its current market 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0"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To test the sensitivity of our results to other outcomes that were reasonably likely to occur, we sensitized our forecasts for changes to revenue growth rates and operating margins, discount rates and long-term growth rates. None of these sensitized forecasts resulted in different conclusions with respect to goodwill impairment.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methodology for evaluating goodwill and intangibles for impairment is consistent with the methodology we have used in prior periods.</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a result of the assumptions used in our analyses, several factors could result in impairment of our $110.2 million goodwill and $27.8 million long-lived intangibles in future periods, including but not limited to:</w:t>
      </w:r>
    </w:p>
    <w:p>
      <w:pPr>
        <w:spacing w:after="0" w:line="199" w:lineRule="exact"/>
        <w:rPr>
          <w:sz w:val="20"/>
          <w:szCs w:val="20"/>
          <w:color w:val="auto"/>
        </w:rPr>
      </w:pPr>
    </w:p>
    <w:p>
      <w:pPr>
        <w:ind w:left="1080" w:right="1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government solutions reporting unit;</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available government funding, including budgetary constraints affecting federal government spending generally, or specific departments or agencies;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 and</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not possible at this time to determine if an impairment charge would result from these factors, or, if it does, whether such charge would be material.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 July 1, 2009 the Financial Accounting Standards Board officially launched the Accounting Standards Codification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as the authoritative source of generally accepted accounting principles in the United States. Rules and interpretive releases of the Securities and Exchange Commission (SEC) under federal securities laws are also sources of authoritative GAAP for SEC registrants. </w:t>
      </w:r>
      <w:r>
        <w:rPr>
          <w:rFonts w:ascii="Arial" w:cs="Arial" w:eastAsia="Arial" w:hAnsi="Arial"/>
          <w:sz w:val="16"/>
          <w:szCs w:val="16"/>
          <w:i w:val="1"/>
          <w:iCs w:val="1"/>
          <w:color w:val="auto"/>
        </w:rPr>
        <w:t>FASB ASC Topic 105 Generally Accepted Accounting Principles</w:t>
      </w:r>
      <w:r>
        <w:rPr>
          <w:rFonts w:ascii="Arial" w:cs="Arial" w:eastAsia="Arial" w:hAnsi="Arial"/>
          <w:sz w:val="16"/>
          <w:szCs w:val="16"/>
          <w:color w:val="auto"/>
        </w:rPr>
        <w:t xml:space="preserve"> is effective for financial statements issued for interim and annual periods ending after September 15, 2009. The adoption of this standard did not have a material impact on our consolidated financial position, results of operations or cash flows.</w:t>
      </w:r>
    </w:p>
    <w:p>
      <w:pPr>
        <w:spacing w:after="0" w:line="170"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 xml:space="preserve">In August 2009, the SEC issued </w:t>
      </w:r>
      <w:r>
        <w:rPr>
          <w:rFonts w:ascii="Arial" w:cs="Arial" w:eastAsia="Arial" w:hAnsi="Arial"/>
          <w:sz w:val="16"/>
          <w:szCs w:val="16"/>
          <w:i w:val="1"/>
          <w:iCs w:val="1"/>
          <w:color w:val="auto"/>
        </w:rPr>
        <w:t>Interpretive Release No. 33-9062, "Commission Guidance Regarding the Financial Accounting Standards Board's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w:t>
      </w:r>
      <w:r>
        <w:rPr>
          <w:rFonts w:ascii="Arial" w:cs="Arial" w:eastAsia="Arial" w:hAnsi="Arial"/>
          <w:sz w:val="16"/>
          <w:szCs w:val="16"/>
          <w:color w:val="auto"/>
        </w:rPr>
        <w:t>regarding the impact of the FASB Codification on certain SEC rules, regulations, and interpretive releases and staff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bulletins. The SEC advised that references to FASB standards in current SEC text should correspond to the rules in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does not supersede any SEC rules or regulations.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should not be considered the authoritative source for SEC guidance.</w:t>
      </w:r>
    </w:p>
    <w:p>
      <w:pPr>
        <w:spacing w:after="0" w:line="167"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 xml:space="preserve">The disclosure requirements of </w:t>
      </w:r>
      <w:r>
        <w:rPr>
          <w:rFonts w:ascii="Arial" w:cs="Arial" w:eastAsia="Arial" w:hAnsi="Arial"/>
          <w:sz w:val="18"/>
          <w:szCs w:val="18"/>
          <w:i w:val="1"/>
          <w:iCs w:val="1"/>
          <w:color w:val="auto"/>
        </w:rPr>
        <w:t>FASB ASC Topic 820 Fair Value Measurements and Disclosures (Topic 820)</w:t>
      </w:r>
      <w:r>
        <w:rPr>
          <w:rFonts w:ascii="Arial" w:cs="Arial" w:eastAsia="Arial" w:hAnsi="Arial"/>
          <w:sz w:val="18"/>
          <w:szCs w:val="18"/>
          <w:color w:val="auto"/>
        </w:rPr>
        <w:t xml:space="preserve">, which took effect on January 1, 2008, are presented in Note 9. On January 1, 2009, the Company implemented the previously deferred provisions of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for nonfinancial assets and liabilities recorded at fair value, as required.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815 Derivatives and Hedging</w:t>
      </w:r>
      <w:r>
        <w:rPr>
          <w:rFonts w:ascii="Arial" w:cs="Arial" w:eastAsia="Arial" w:hAnsi="Arial"/>
          <w:sz w:val="16"/>
          <w:szCs w:val="16"/>
          <w:color w:val="auto"/>
        </w:rPr>
        <w:t>, which took effect on January 1, 2009, are presented in Note 10.</w:t>
      </w:r>
    </w:p>
    <w:p>
      <w:pPr>
        <w:spacing w:after="0" w:line="24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 xml:space="preserve">The accounting requirements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which took effect on January 1, 2009, were adopted but had no impact on the Company's consolidated financial statements.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 xml:space="preserve">The accounting and presentation requirements of </w:t>
      </w:r>
      <w:r>
        <w:rPr>
          <w:rFonts w:ascii="Arial" w:cs="Arial" w:eastAsia="Arial" w:hAnsi="Arial"/>
          <w:sz w:val="18"/>
          <w:szCs w:val="18"/>
          <w:i w:val="1"/>
          <w:iCs w:val="1"/>
          <w:color w:val="auto"/>
        </w:rPr>
        <w:t>FASB ASC Topic 810 Consolidation</w:t>
      </w:r>
      <w:r>
        <w:rPr>
          <w:rFonts w:ascii="Arial" w:cs="Arial" w:eastAsia="Arial" w:hAnsi="Arial"/>
          <w:sz w:val="18"/>
          <w:szCs w:val="18"/>
          <w:color w:val="auto"/>
        </w:rPr>
        <w:t>, which took effect on January 1, 2009, had no impact on the financial statements as the Company's non-controlling interests are not material.</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855 Subsequent Events (Topic 855)</w:t>
      </w:r>
      <w:r>
        <w:rPr>
          <w:rFonts w:ascii="Arial" w:cs="Arial" w:eastAsia="Arial" w:hAnsi="Arial"/>
          <w:sz w:val="16"/>
          <w:szCs w:val="16"/>
          <w:color w:val="auto"/>
        </w:rPr>
        <w:t xml:space="preserve">, which took effect on June 15, 2009, requiring disclosure of the date through which subsequent events have been evaluated. The Company has adopted </w:t>
      </w:r>
      <w:r>
        <w:rPr>
          <w:rFonts w:ascii="Arial" w:cs="Arial" w:eastAsia="Arial" w:hAnsi="Arial"/>
          <w:sz w:val="16"/>
          <w:szCs w:val="16"/>
          <w:i w:val="1"/>
          <w:iCs w:val="1"/>
          <w:color w:val="auto"/>
        </w:rPr>
        <w:t>Topic 855</w:t>
      </w:r>
      <w:r>
        <w:rPr>
          <w:rFonts w:ascii="Arial" w:cs="Arial" w:eastAsia="Arial" w:hAnsi="Arial"/>
          <w:sz w:val="16"/>
          <w:szCs w:val="16"/>
          <w:color w:val="auto"/>
        </w:rPr>
        <w:t xml:space="preserve"> and considers its' financial statements issued as of the date of filing with the Securities and Exchange Commission (SEC) and as such, evaluates subsequent events up to and including the date of filing with the SEC.</w:t>
      </w:r>
    </w:p>
    <w:p>
      <w:pPr>
        <w:spacing w:after="0" w:line="16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 xml:space="preserve">As of September 27, 2009, the Company implemented </w:t>
      </w:r>
      <w:r>
        <w:rPr>
          <w:rFonts w:ascii="Arial" w:cs="Arial" w:eastAsia="Arial" w:hAnsi="Arial"/>
          <w:sz w:val="16"/>
          <w:szCs w:val="16"/>
          <w:i w:val="1"/>
          <w:iCs w:val="1"/>
          <w:color w:val="auto"/>
        </w:rPr>
        <w:t>FASB ASC Topic 825 Financial Instrument (Topic 825). Topic 825</w:t>
      </w:r>
      <w:r>
        <w:rPr>
          <w:rFonts w:ascii="Arial" w:cs="Arial" w:eastAsia="Arial" w:hAnsi="Arial"/>
          <w:sz w:val="16"/>
          <w:szCs w:val="16"/>
          <w:color w:val="auto"/>
        </w:rPr>
        <w:t xml:space="preserve"> amends previous accounting literature to require disclosures about fair value of financial instruments in interim as well as in annual financial statements. The amendment changes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Topic 270 Interim Reporting (Topic 270)</w:t>
      </w:r>
      <w:r>
        <w:rPr>
          <w:rFonts w:ascii="Arial" w:cs="Arial" w:eastAsia="Arial" w:hAnsi="Arial"/>
          <w:sz w:val="16"/>
          <w:szCs w:val="16"/>
          <w:color w:val="auto"/>
        </w:rPr>
        <w:t>, to require those disclosures in all interim financial statements.</w:t>
      </w:r>
      <w:r>
        <w:rPr>
          <w:rFonts w:ascii="Arial" w:cs="Arial" w:eastAsia="Arial" w:hAnsi="Arial"/>
          <w:sz w:val="16"/>
          <w:szCs w:val="16"/>
          <w:i w:val="1"/>
          <w:iCs w:val="1"/>
          <w:color w:val="auto"/>
        </w:rPr>
        <w:t xml:space="preserve"> Topic 825 </w:t>
      </w:r>
      <w:r>
        <w:rPr>
          <w:rFonts w:ascii="Arial" w:cs="Arial" w:eastAsia="Arial" w:hAnsi="Arial"/>
          <w:sz w:val="16"/>
          <w:szCs w:val="16"/>
          <w:color w:val="auto"/>
        </w:rPr>
        <w:t>is effective for periods ending after June 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2009. In the second quarter of 2009, the Company implemented </w:t>
      </w:r>
      <w:r>
        <w:rPr>
          <w:rFonts w:ascii="Arial" w:cs="Arial" w:eastAsia="Arial" w:hAnsi="Arial"/>
          <w:sz w:val="16"/>
          <w:szCs w:val="16"/>
          <w:i w:val="1"/>
          <w:iCs w:val="1"/>
          <w:color w:val="auto"/>
        </w:rPr>
        <w:t>Topic 825</w:t>
      </w:r>
      <w:r>
        <w:rPr>
          <w:rFonts w:ascii="Arial" w:cs="Arial" w:eastAsia="Arial" w:hAnsi="Arial"/>
          <w:sz w:val="16"/>
          <w:szCs w:val="16"/>
          <w:color w:val="auto"/>
        </w:rPr>
        <w:t xml:space="preserve"> and </w:t>
      </w:r>
      <w:r>
        <w:rPr>
          <w:rFonts w:ascii="Arial" w:cs="Arial" w:eastAsia="Arial" w:hAnsi="Arial"/>
          <w:sz w:val="16"/>
          <w:szCs w:val="16"/>
          <w:i w:val="1"/>
          <w:iCs w:val="1"/>
          <w:color w:val="auto"/>
        </w:rPr>
        <w:t>Topic 270</w:t>
      </w:r>
      <w:r>
        <w:rPr>
          <w:rFonts w:ascii="Arial" w:cs="Arial" w:eastAsia="Arial" w:hAnsi="Arial"/>
          <w:sz w:val="16"/>
          <w:szCs w:val="16"/>
          <w:color w:val="auto"/>
        </w:rPr>
        <w:t>. See Note 9, "Fair Value Measurements."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outstanding balances under our credit facility with KeyBank Capital Markets. Based on our average outstanding balances during the nine months ended September 27, 2009, a 1% change in the LIBOR rate would not impact our financial position and results of operations as a result of the 4.25%</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6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Cash and cash equivalents as of September 27, 2009 were $10.9 million and are primarily invested in money market interest bearing accounts. A hypothetical 10% adverse change in the average interest rate on our money market cash investments and short-term investments would have had no material effect on net income for the nine month period ended September 27, 2009.</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September 27, 2009.</w:t>
      </w:r>
    </w:p>
    <w:p>
      <w:pPr>
        <w:spacing w:after="0" w:line="16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27, 2009 that has materially affected, or is reasonably likely to materially affect, our internal control over financial reporting.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2000. These complaints have been consolidated into an action captioned In re Initial Public Offering Securities Litigation, 21 MC 92 (the "IPO Cases").</w:t>
      </w:r>
    </w:p>
    <w:p>
      <w:pPr>
        <w:spacing w:after="0" w:line="248"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Appeals of the final approval decision must be filed within 30 days of the date judgment is entered. Due to the inherent uncertainties of litigation and because the time to file an appeal of final approval of the settlement has not run, the ultimate outcome of the matter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trade at artificially inflated levels. Based on these allegations, the lawsuits alleged that Defendants violated the Securities Exchange Act of 1934,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The parties have conferred and discussed the Court's personal jurisdictional order, notice of appeal, and appellate briefing schedule and have stipulated to a briefing schedule for any remaining motions to dismiss that the Company, along with the individual defendants subject to the court's jurisdiction, may bring in an effort to dismiss the complaint as to them. However, in light of the tentative settlement of all derivative litigation, discussed below, the parties have requested that the appeal, and all other matters except as necessary to document the settlement, be stayed pending approval of the settlement by the district court.</w:t>
      </w:r>
    </w:p>
    <w:p>
      <w:pPr>
        <w:spacing w:after="0" w:line="17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action, including three that were also named in the Hameed Action. In August 2008, and before defendants had responded to the complaint, Plaintiff voluntarily dismissed the Hameed Action pursuant to Federal Rule of Civil Procedure 41(a).</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parties currently are in the process of drafting settlement papers, and expect to submit them to the federal district court for approval shortly. There is no guarantee, however, that the settlement will be approved by the court. In addition, defendants continue to believe that plaintiffs' allegations lack merit and intend to vigorously defend all claims asserted if the settlement is not approved. It is impossible at this time to assess whether or not the outcome of these proceedings will have a material adverse effect on the Company.</w:t>
      </w:r>
    </w:p>
    <w:p>
      <w:pPr>
        <w:spacing w:after="0" w:line="17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$0.1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$0.5 million for his back wages, vacation pay and certain other benefits. The Company filed an appeal on the matter on July 20, 2006 and is challenging the basis for the award on several theories.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 The Company has accrued approximately $0.5 million as of September 27, 2009, related to this matter.</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 Alameda County. The suit alleged various violations of the California Labor Code and sought payments for allegedly unpaid straight time and overtime, meal period pay and associated penalties. The Company and the plaintiffs agreed to venue for the suit in San Diego County. Although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believed that the allegations lack merit, it agreed with the plaintiffs to settle their claims for an aggregate amount in the range of $0.3 million to $0.5 million, to include individual and incentive awards, attorneys' fees and administrative costs. The court granted final approval of the settlement on April 17, 2009 and the Company has paid a total of $0.3 million in accordance with the final settlement.</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May 3, 2007, Kratos announced that it had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The SEC and U.S. Attorney's Office have each notified Kratos that they have completed their respective investigations and do not intend to recommend any action against the Company. The former employee and his wife entered into a settlement agreement with Kratos on October 5, 2007 and the court entered a final judgment approving the settlement on February 19, 2008. Kratos' directors' and officers' liability insurers agreed to reimburse it for $4.1 million in the third and fourth quarters of 2008 related to fees previously incurred on the ongoing investigation by the U.S. Attorney's Office as well as fees previously incurred on the SEC investigation.</w:t>
      </w:r>
    </w:p>
    <w:p>
      <w:pPr>
        <w:spacing w:after="0" w:line="18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June 4, 2009, the Company filed a complaint in the United States District Court for the Northern District of Ohio against the lenders under its Credit Agreement, Field Point III, Ltd. and SPF CDO I, Ltd., both affiliates of Silverpoint Capital LP ("Silverpoint"), and KeyBank National Association ("KeyBank") seeking equitable relief in the form of reformation of an error in a contract schedule, declaratory relief and damages. The error resulted from the erroneous preparation of a schedule to the loan documents consisting of calculations related to a financial covenant. On August 5, 2009, Silverpoint filed a complaint in the United States District Court for the Southern District of New York against the Company and KeyBank, seeking declaratory relief that the financial covenants were enforceable as written.</w:t>
      </w:r>
    </w:p>
    <w:p>
      <w:pPr>
        <w:spacing w:after="0" w:line="19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On October 16, 2009, the Company and the lenders under its Credit Agreement executed a Settlement Agreement related to this complaint and executed a Third Amendment to its Credit Agreement. Under the Settlement Agreement, the parties agree to dismiss the actions with prejudice and release the other parties from all claims. Among other things, the Settlement Agreement and Third Amendment:</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reform the error in the minimum liquidity ratio in accordance with the Company's request;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net proceeds from the Company's registered direct public offering on September 2, 2009 must be used to reduce the first term loan at par with no prepayment penalty or make whole payments;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if the Company refinances the remaining balance of the first lien term loan by March 12, 2010, the extinguishment of the term loan will be at par with no prepayment penalty or make whole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the term on the revolving line of credit by one year to December 31, 2012;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Company to pay a $0.5 million fee to its lenders.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27, 2009, the $17.5 million net proceeds from the Company's registered direct public offering had been used to reduce the balance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revolving line of credit. On October 16, 2009, the Company borrowed $17.5 million from its revolving line of credit to make the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on the first lien term loan in accordance with the terms of the Settlement Agreement and the Third Amendment to its Credit Agreement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payment of the $0.5 million in fees to the lenders.</w:t>
      </w:r>
    </w:p>
    <w:p>
      <w:pPr>
        <w:spacing w:after="0" w:line="21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October 21, 2009, one of our divisions received a default notice from a state government customer. The default notice asserts that our division has failed to meet certain performance deadlines in the contractual arrangement. We are currently working with the state to resolve the default notice and to obtain a contractual amendment and funding increase for scope changes requested by the state. We have also terminated one of our subcontractors on the project, which was under a fixed price contractual arrangement to deliver a substantial portion of the requirements of the project, and are evaluating our available legal remedies against the original subcontractor, which sold its business to the current subcontractor. We believe that the resolution of these various related matters will be determined at the time of completion, which we estimate will be the first quarter of 2010. In the event that we are unable to cure the default with the state, we could be subject to various liquidated damages under the contractual arrangement, which could be material to our operating results. We are currently in the process of assessing our future involvement in this business line.</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Company's role as a contractor to agencies and departments of the U.S. Government results in the Company being routinely subject to investigations and reviews relating to compliance with various laws and regulations, including those associated with organizational conflicts of interest. These investigations may be conducted without the Company's knowledge. The Company is unable to predict the outcome of such investigations or to estimate the amounts of resulting claims or other actions that could be instituted against the Company, its officers or employees. Adverse findings in these investigations or reviews can lead to criminal, civil or administrative proceedings and the Company could face penalties, fines, repayments or compensatory damages. Adverse findings could also have a material adverse effect on the Company's business, consolidated financial position, results of operations and cash flows due to its reliance on government contracts.</w:t>
      </w:r>
    </w:p>
    <w:p>
      <w:pPr>
        <w:spacing w:after="0" w:line="20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condensed consolidated financial statements and related notes.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derive a significant portion of our revenue from contracts with the U.S. federal government and government agencies and subcontracts under federal government prime contracts, and the success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208" w:lineRule="exact"/>
        <w:rPr>
          <w:sz w:val="20"/>
          <w:szCs w:val="20"/>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Recent deterioration in the credit markets and the financial services industry may negatively impact our business, results of operations, financial condition or liquidity.</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Recently the credit markets and the financial services industry have been experiencing a period of unprecedented turmoil and upheaval characterized by the bankruptcy, failure, collapse or sale of various financial institutions and an unprecedented level of intervention from the United States federal government. While the outcome of these events cannot be predicted, they may have an adverse effect on our liquidity, financial condition and results of operations if it became necessary for us to acquire additional debt financing. Given our highly leveraged liquidity position, any down-turn in our operating earnings or cash flows could impair our ability to comply with the financial covenants of our existing credit facility. If additional debt financing were required, it may be at interest rates far greater than our current outstanding debt or may not be available at all.</w:t>
      </w:r>
    </w:p>
    <w:p>
      <w:pPr>
        <w:spacing w:after="0" w:line="17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we maintain allowances for doubtful accounts for estimated losses from the inability of our customers to make required payments and such losses have historically been within our expectations and the allowances we have established, we cannot guarantee that we will continue to experience the same loss rates we have in the past, especially given the recent deterioration of the credit markets. A significant change in the liquidity or financial condition of our customers could cause unfavorable trends in our revenue and receivable collections and additional allowances may be required. These additional allowances could materially affect our financial results.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our control.</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debt service obligations are estimated to be approximately $28.5 million to $41.5 million in 2009, including approximately $23.4 million of principal repayments which includes $17.5 million in payment of debt on our first lien term note as a result of the net equity proceeds received from our issuance of common stock on September 2, 2009 and the Settlement Agreement and Third Amendment to our Credit Facility which was executed on October 16, 2009. This debt service may have an adverse impact on our earnings and cash flow, which could in turn negatively impact our stock price.</w:t>
      </w:r>
    </w:p>
    <w:p>
      <w:pPr>
        <w:spacing w:after="0" w:line="167"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40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in amounts sufficient to enable us to pay our indebtedness or fund our other liquidity needs. Moreover, we may need to refinance all or a portion of our indebtedness on or before maturity. In such a case, we may not be able to refinance any of our indebtedness on commercially reasonable terms or at all. If we are unable to make scheduled debt payments or comply with the other provisions of our debt instruments, our lenders may be permitted under certain circumstances to accelerate the maturity of the indebtedness owed to them and exercise other remedies provided for in those instruments and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goodwill impairment charges in our reporting entities which could harm our profitability.</w:t>
      </w:r>
    </w:p>
    <w:p>
      <w:pPr>
        <w:spacing w:after="0" w:line="225"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 xml:space="preserve">A significant portion of our net assets come from goodwill and other intangible assets. In accordance with </w:t>
      </w:r>
      <w:r>
        <w:rPr>
          <w:rFonts w:ascii="Arial" w:cs="Arial" w:eastAsia="Arial" w:hAnsi="Arial"/>
          <w:sz w:val="18"/>
          <w:szCs w:val="18"/>
          <w:i w:val="1"/>
          <w:iCs w:val="1"/>
          <w:color w:val="auto"/>
        </w:rPr>
        <w:t>FASB ASC Topic 350 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(Topic 350), </w:t>
      </w:r>
      <w:r>
        <w:rPr>
          <w:rFonts w:ascii="Arial" w:cs="Arial" w:eastAsia="Arial" w:hAnsi="Arial"/>
          <w:sz w:val="18"/>
          <w:szCs w:val="18"/>
          <w:color w:val="auto"/>
        </w:rPr>
        <w:t>we periodically review the carrying values of our goodwill to determine whether such carrying values exceed the fair market value.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In 2008, as a result of our annual review,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recorded a goodwill impairment charge of $105.8 million related to our KGS segment, to reflect the declining market and economic conditions through December 28, 2008.</w:t>
      </w:r>
    </w:p>
    <w:p>
      <w:pPr>
        <w:spacing w:after="0" w:line="186"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 xml:space="preserve">In the beginning of 2009 there was a continued significant decline in the stock market in general and specifically as a result of the impact on our stock price, we performed an impairment test for goodwill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as of February 28, 2009. The test indicated that the book value for the KGS segment exceeded the fair values of the businesses and resulted in our recording a charge totaling $41.3 million in our KGS segment for the impairment of goodwill. The impairment charge was primarily driven by adverse equity market conditions that caused a decrease in current market multiples and our average stock price as of February 28, 2009, compared with the test performed as of December 28, 2008.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that solution. While we actively monitor our contracts to avoid these conflicts, we cannot guarantee that we will be able to avoid all organizational conflict of interest issues.</w:t>
      </w:r>
    </w:p>
    <w:p>
      <w:pPr>
        <w:spacing w:after="0" w:line="18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As of September 27, 2009, our backlog was approximately $620 million, of which $130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$490 million is unfunded backlog, which reflects our estimate of future revenue under awarded government contracts and task orders for which either funding has not yet been appropriated or expenditure has not yet been authorized. Unfunded backlog does not include estimates of revenue from GWAC contracts or GSA schedules beyond awarded or funded task orders, but does include estimates of revenue beyond awarded or funded task orders for other types of IDIQ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77"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United States government contracts included in backlog, whether or not funded, may be terminated at the convenience of the United States government. The failure to realize all amounts in our backlog could adversely affect our revenues and gross margins. As a result, our funded and total backlog as of any particular date may not be an accurate indicator of our future earnings.</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3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completed several acquisitions of complementary businesses in recent years, including our December 2007 acquisition of Haverstick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Consulting, Inc., our June 2008 acquisition of SYS, and our December 2008 acquisition of DFI. The success of the acquisitions will depend in part on the success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integrating the operations, technologies and personnel of SYS and DFI. The failure to successfully integrate the operations of the two companies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realize any of the anticipated benefits of the acquisitions could seriously harm our results of operations.</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revenue in that same quarter. We may also incur additional expenses when contracts expire, are terminated or are not renewed.</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three and nine months ended September 27, 2009, two customers comprised approximately 61% and 53% of our federal business revenues and total revenues, respectively, and our five largest customers accounted for approximately 74% and 63%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34% and 32%, respectively, of our federal business revenues for the nine months ended September 27, 2009.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procurement, could damage our reputation and could hurt our ability to compete for future contracts.</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October 21, 2009, one of our divisions received a default notice from a state government customer. The default notice asserts that our division has failed to meet certain performance deadlines in the contractual arrangement. We are currently working with the state to resolve the default notice and to obtain a contractual amendment and funding increase for scope changes requested by the state. We have also terminated one of our subcontractors on the project, which was under a fixed price contractual arrangement to deliver a substantial portion of the requirements of the project, and are evaluating our available legal remedies against the original subcontractor, which sold its business to the current subcontractor. We believe that the resolution of these various related matters will be determined at the time of completion, which we estimate will be the first quarter of 2010. In the event that we are unable to cure the default with the state, we could be subject to various liquidated damages under the contractual arrangement, which could be material to our operating results. We are currently in the process of assessing our future involvement in this business line.</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federal government, which could reduce our revenue, disrupt our business or otherwise adversely affect our results of operations.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Federal government agencies, including the Defense Contract Audit Agency (DCAA), routinely audit and investigate government contracts and government contractors' administrative processes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systems. These agencies review our performance on contracts, pricing practices, cost structure and compliance with applicable laws, regulations and standards. They also review the adequacy of our compliance with government standards for its accounting and management of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recently received an audit report from the DCAA which determined that the accounting system of a KGS segment business unit was inadequate primarily due to a lack of certain written policies and procedures, and an inadequate CAS disclosure statement. We are in the process of appealing the report and requesting a reaudit of the accounting system which we believe will be successfully completed during the fourth quarter of 2009. The failure to obtain an "adequate" determination of one of our business unit's accounting systems from the responsible U.S. Government agency could significantly and adversely effect our business, including our business unit's ability to bid on new CPFF contracts and its competitive position in the bidding process. Failure to comply with applicable contracting and procurement laws, regulations, and standards could also result in the U.S. Government imposing penalties and sanctions against us, including suspension of payments and increased government scrutiny that could delay or adversely affect our ability to invoice and receive timely payment on contracts, perform contracts or compete for contracts with the U.S. Government. Therefore, an unfavorable outcome of an audit by the DCAA or another government agency could cause actual results to differ materially and adversely from those anticipated.</w:t>
      </w:r>
    </w:p>
    <w:p>
      <w:pPr>
        <w:spacing w:after="0" w:line="174"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While we have submitted all applicable incurred cost claims, the actual indirect cost audits by the DCAA have not been completed for fiscal 2005 and subsequent fiscal years. Although we have recorded contract revenues subsequent to fiscal 2004 based upon costs that we believe will be approved upon final audit or review, we do not know the outcome of any ongoing or future audits or reviews and adjustments and, if future adjustments exceed our estimates, our profitability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prime contractors, subcontractors and vendors and may impose added costs on us. Our role as a contractor to agencies and departments of the U.S. Government results in the Company being routinely subject to investigations and reviews relating to compliance with various laws and regulations, including those associated with organizational conflicts of interest.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2006, our current executive management team initiated an internal investigation of our past stock option granting practices in reaction to media reports regarding stock option granting practices of public companies. The facts identified in the internal investigation caused our Audit Committee to conclude that our prior financial statements for periods from 1998 through our filing of interim financial statements for the period ended September 30, 2006 had to be restated to recognize non-cash equity-based compensation charges associated with our equity incentive plans. The review and restatement activities required us to expend significant management time and incur significant legal, accounting and other expenses. Several derivative complaints were filed in state and federal courts against our current directors, some of our former directors and some of our current and former executive officers pertaining to allegations relating to stock option grants. In addition, the SEC initiated an inquiry into our historical stock option granting practices, and we received a subpoena from the United States Attorney's Office for the Southern District of California for the production of documents relating to our historical stock option granting practices. The SEC and U.S. Attorney's Office have each notified us that they have completed their respective investigations and do not intend to recommend any action against us. The adverse publicity associated with our past stock option granting practices and the restatement of our prior financial statements have exposed and could continue to expose us to greater risks associated with litigation, regulatory proceedings and government inquiries and enforcement actions.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28, 2008.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June 28, 2008, we completed the acquisition of SYS and on December 24, 2008, we completed the acquisition of DFI and, as permitted by SEC guidance, we excluded from our assessment of the effectiveness of our internal control over financial reporting as of December 28, 2008, the internal control over financial reporting of these two entities. These operations will be included in our assessment of internal controls over financial reporting for the year ending December 27, 2009. Performing assessments of internal controls, implementing necessary changes, and maintaining an effective internal controls process is costly and requires considerable management attention, particularly in the case of newly acquired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available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jc w:val="both"/>
        <w:ind w:right="18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raise capital using our equity.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were to fail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we may not have sufficient assets to repay those amounts in full.</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June 4, 2009, we filed a complaint in the United States District Court for the Northern District of Ohio against the lenders under its credit agreement, Field Point III, Ltd. and SPF CDO I, Ltd., both affiliates of Silverpoint, and KeyBank National Association seeking equitable relief in the form of reformation of an error in a contract schedule, declaratory relief and damages. On October 16, 2009, the parties executed a Settlement Agreement related to this complaint and a Third Amendment to our Credit Agreement. Among other things, the Settlement Agreement and Third Amendment:</w:t>
      </w:r>
    </w:p>
    <w:p>
      <w:pPr>
        <w:spacing w:after="0" w:line="18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reform the error in the minimum liquidity ratio in accordance with our request;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the net proceeds from the public offering on September 2, 2009 must be used to reduce the first term loan at par with no prepayment penalty or make whole payments;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if we refinance the remaining balance of the first lien term loan by March 12, 2010, the extinguishment of the term loan will be at par with no prepayment penalty or make whole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 the term on the revolving line of credit by one year to December 31, 2012;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pay a $0.5 million fee to its lenders.</w:t>
      </w:r>
    </w:p>
    <w:p>
      <w:pPr>
        <w:spacing w:after="0" w:line="225"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of September 27, 2009, the $17.5 million net proceeds from our public offering had been used to reduce the balance on our revolving line of credit. On October 16, 2009, we borrowed $17.5 million from our revolving line of credit to make the payment of $17.5 million on the first lien term loan in accordance with the terms of the Settlement Agreement and the Third Amendment to the Credit Agreement and we made the payment of the $0.5 million in fees to the lenders.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also subject to interest rate risk due to our indebtedness at variable interest rates, based on a base rate or LIBOR floor rate plus an applicable margin.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Shifts in interest rates could have a material adverse effect on 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reduce indebtedness and may not be reborrowed. These prepayment provisions may limit our ability to utilize this cash flow to pursue business opportunities.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Federal and state tax laws impose restrictions on the utilization of net operating loss and tax credit carryforwards in the event of an "ownership change" for tax purposes as defined by Section 382 of the Internal Revenue Code. Under Section 382 of the Internal Revenue Code, if a corporation undergoes an "ownership change" (generally defined as greater than 50% change (by value) in its equity ownership over a three year period), the corporation's ability to use its pre-change net operating loss carryforwards and other pre-change tax attributes to offset its post-change income may be limited. At September 27, 2009, we do not believe that any "ownership changes" have occurred which would materially limit the utilization of the loss carryforwards. If an "ownership change" does occur in the future, utilization of the net operating loss or other tax attributes may be limited.</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On October 1, 2009, we issued 142,755 shares to the former shareholders of Haverstick Consulting, Inc. in payment of the final stock portion of the holdback consideration pursuant to the Agreement and Plan of Merger, dated November 2, 2007. These shares were issued without registration under the Securities Act of 1933, as amended (the "Securities Act"), in reliance upon the exemption provided by Section 4(2) under the Securities Act and Regulation D thereunder.</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92"/>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80" w:type="dxa"/>
            <w:vAlign w:val="bottom"/>
            <w:gridSpan w:val="2"/>
          </w:tcPr>
          <w:p>
            <w:pPr>
              <w:ind w:left="1420"/>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85"/>
              </w:rPr>
              <w:t>Form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60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2"/>
              </w:rPr>
              <w:t>Certificate of Amendment to Amended and Restated Certificate of Incorporation of</w:t>
            </w: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Kratos Defense &amp; Security Solutions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1"/>
              </w:rPr>
              <w:t>Settlement Agreement and General Release of Claims, dated as of October 16, 2009,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5"/>
              </w:rPr>
              <w:t>among Kratos Defense &amp; Security Solutions, Inc., Key Bank National Association,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Field Point III, Ltd., and SPF CDO I, Ltd.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7"/>
              </w:rPr>
              <w:t>Third Amendment to First Lien Credit Agreement, dated as of October 16, 2009,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2"/>
              </w:rPr>
              <w:t>among Kratos Defense &amp; Security Solutions, Inc., Key Bank National Association, as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8"/>
              </w:rPr>
              <w:t>Administrative Agent and Lender and other financial institutions parties thereto.</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3"/>
              </w:rPr>
              <w:t>Third Amendment to Second Lien Credit Agreement, dated as of October 16, 2009,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2"/>
              </w:rPr>
              <w:t>among Kratos Defense &amp; Security Solutions, Inc., Key Bank National Association, as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8"/>
              </w:rPr>
              <w:t>Administrative Agent and Lender and other financial institutions parties thereto.</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8"/>
              </w:rPr>
              <w:t>Certification of Chief Executive Officer pursuant to Section 302 of the Sarbanes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2"/>
              </w:rPr>
              <w:t>Certification of Chief Financial Officer pursuant to Section 302 of the Sarbanes Oxley</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Act of 2002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1"/>
              </w:rPr>
              <w:t>Certification pursuant to 18 U.S.C. Section 1350, as adopted pursuant to Section 906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of the Sarbanes-Oxley Act of 2002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w w:val="91"/>
              </w:rPr>
              <w:t>Certification pursuant to 18 U.S.C. Section 1350, as adopted pursuant to Section 906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of the Sarbanes-Oxley Act of 2002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ind w:left="5080"/>
              <w:spacing w:after="0"/>
              <w:rPr>
                <w:sz w:val="20"/>
                <w:szCs w:val="20"/>
                <w:color w:val="auto"/>
              </w:rPr>
            </w:pPr>
            <w:r>
              <w:rPr>
                <w:rFonts w:ascii="Arial" w:cs="Arial" w:eastAsia="Arial" w:hAnsi="Arial"/>
                <w:sz w:val="18"/>
                <w:szCs w:val="18"/>
                <w:color w:val="auto"/>
              </w:rPr>
              <w:t>By:</w:t>
            </w: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ERIC M. DEMARCO</w:t>
            </w:r>
          </w:p>
        </w:tc>
      </w:tr>
      <w:tr>
        <w:trPr>
          <w:trHeight w:val="97"/>
        </w:trPr>
        <w:tc>
          <w:tcPr>
            <w:tcW w:w="5540" w:type="dxa"/>
            <w:vAlign w:val="bottom"/>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5540" w:type="dxa"/>
            <w:vAlign w:val="bottom"/>
          </w:tcPr>
          <w:p>
            <w:pPr>
              <w:spacing w:after="0"/>
              <w:rPr>
                <w:sz w:val="24"/>
                <w:szCs w:val="24"/>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color w:val="auto"/>
                <w:w w:val="93"/>
              </w:rPr>
              <w:t>Eric M. DeMarco</w:t>
            </w:r>
          </w:p>
        </w:tc>
      </w:tr>
      <w:tr>
        <w:trPr>
          <w:trHeight w:val="216"/>
        </w:trPr>
        <w:tc>
          <w:tcPr>
            <w:tcW w:w="5540" w:type="dxa"/>
            <w:vAlign w:val="bottom"/>
          </w:tcPr>
          <w:p>
            <w:pPr>
              <w:spacing w:after="0"/>
              <w:rPr>
                <w:sz w:val="18"/>
                <w:szCs w:val="18"/>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88"/>
              </w:rPr>
              <w:t>Chief Executive Officer, President</w:t>
            </w:r>
          </w:p>
        </w:tc>
      </w:tr>
      <w:tr>
        <w:trPr>
          <w:trHeight w:val="222"/>
        </w:trPr>
        <w:tc>
          <w:tcPr>
            <w:tcW w:w="5540" w:type="dxa"/>
            <w:vAlign w:val="bottom"/>
          </w:tcPr>
          <w:p>
            <w:pPr>
              <w:spacing w:after="0"/>
              <w:rPr>
                <w:sz w:val="19"/>
                <w:szCs w:val="19"/>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459"/>
        </w:trPr>
        <w:tc>
          <w:tcPr>
            <w:tcW w:w="5540" w:type="dxa"/>
            <w:vAlign w:val="bottom"/>
          </w:tcPr>
          <w:p>
            <w:pPr>
              <w:ind w:left="5080"/>
              <w:spacing w:after="0"/>
              <w:rPr>
                <w:sz w:val="20"/>
                <w:szCs w:val="20"/>
                <w:color w:val="auto"/>
              </w:rPr>
            </w:pPr>
            <w:r>
              <w:rPr>
                <w:rFonts w:ascii="Arial" w:cs="Arial" w:eastAsia="Arial" w:hAnsi="Arial"/>
                <w:sz w:val="18"/>
                <w:szCs w:val="18"/>
                <w:color w:val="auto"/>
              </w:rPr>
              <w:t>By:</w:t>
            </w: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DEANNA H. LUND, CPA</w:t>
            </w:r>
          </w:p>
        </w:tc>
      </w:tr>
      <w:tr>
        <w:trPr>
          <w:trHeight w:val="97"/>
        </w:trPr>
        <w:tc>
          <w:tcPr>
            <w:tcW w:w="5540" w:type="dxa"/>
            <w:vAlign w:val="bottom"/>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5540" w:type="dxa"/>
            <w:vAlign w:val="bottom"/>
          </w:tcPr>
          <w:p>
            <w:pPr>
              <w:spacing w:after="0"/>
              <w:rPr>
                <w:sz w:val="24"/>
                <w:szCs w:val="24"/>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Deanna H. Lund</w:t>
            </w:r>
          </w:p>
        </w:tc>
      </w:tr>
      <w:tr>
        <w:trPr>
          <w:trHeight w:val="216"/>
        </w:trPr>
        <w:tc>
          <w:tcPr>
            <w:tcW w:w="5540" w:type="dxa"/>
            <w:vAlign w:val="bottom"/>
          </w:tcPr>
          <w:p>
            <w:pPr>
              <w:spacing w:after="0"/>
              <w:rPr>
                <w:sz w:val="18"/>
                <w:szCs w:val="18"/>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89"/>
              </w:rPr>
              <w:t>Executive Vice President, Chief Financial Officer</w:t>
            </w:r>
          </w:p>
        </w:tc>
      </w:tr>
      <w:tr>
        <w:trPr>
          <w:trHeight w:val="222"/>
        </w:trPr>
        <w:tc>
          <w:tcPr>
            <w:tcW w:w="5540" w:type="dxa"/>
            <w:vAlign w:val="bottom"/>
          </w:tcPr>
          <w:p>
            <w:pPr>
              <w:spacing w:after="0"/>
              <w:rPr>
                <w:sz w:val="19"/>
                <w:szCs w:val="19"/>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59"/>
        </w:trPr>
        <w:tc>
          <w:tcPr>
            <w:tcW w:w="5540" w:type="dxa"/>
            <w:vAlign w:val="bottom"/>
          </w:tcPr>
          <w:p>
            <w:pPr>
              <w:ind w:left="5080"/>
              <w:spacing w:after="0"/>
              <w:rPr>
                <w:sz w:val="20"/>
                <w:szCs w:val="20"/>
                <w:color w:val="auto"/>
              </w:rPr>
            </w:pPr>
            <w:r>
              <w:rPr>
                <w:rFonts w:ascii="Arial" w:cs="Arial" w:eastAsia="Arial" w:hAnsi="Arial"/>
                <w:sz w:val="18"/>
                <w:szCs w:val="18"/>
                <w:color w:val="auto"/>
              </w:rPr>
              <w:t>By:</w:t>
            </w:r>
          </w:p>
        </w:tc>
        <w:tc>
          <w:tcPr>
            <w:tcW w:w="588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/s/ LAURA L. SIEGAL</w:t>
            </w:r>
          </w:p>
        </w:tc>
      </w:tr>
      <w:tr>
        <w:trPr>
          <w:trHeight w:val="97"/>
        </w:trPr>
        <w:tc>
          <w:tcPr>
            <w:tcW w:w="5540" w:type="dxa"/>
            <w:vAlign w:val="bottom"/>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5540" w:type="dxa"/>
            <w:vAlign w:val="bottom"/>
          </w:tcPr>
          <w:p>
            <w:pPr>
              <w:spacing w:after="0"/>
              <w:rPr>
                <w:sz w:val="24"/>
                <w:szCs w:val="24"/>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Laura L. Siegal</w:t>
            </w:r>
          </w:p>
        </w:tc>
      </w:tr>
      <w:tr>
        <w:trPr>
          <w:trHeight w:val="216"/>
        </w:trPr>
        <w:tc>
          <w:tcPr>
            <w:tcW w:w="5540" w:type="dxa"/>
            <w:vAlign w:val="bottom"/>
          </w:tcPr>
          <w:p>
            <w:pPr>
              <w:spacing w:after="0"/>
              <w:rPr>
                <w:sz w:val="18"/>
                <w:szCs w:val="18"/>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90"/>
              </w:rPr>
              <w:t>Vice President, Corporate Controller</w:t>
            </w:r>
          </w:p>
        </w:tc>
      </w:tr>
      <w:tr>
        <w:trPr>
          <w:trHeight w:val="222"/>
        </w:trPr>
        <w:tc>
          <w:tcPr>
            <w:tcW w:w="5540" w:type="dxa"/>
            <w:vAlign w:val="bottom"/>
          </w:tcPr>
          <w:p>
            <w:pPr>
              <w:spacing w:after="0"/>
              <w:rPr>
                <w:sz w:val="19"/>
                <w:szCs w:val="19"/>
                <w:color w:val="auto"/>
              </w:rPr>
            </w:pPr>
          </w:p>
        </w:tc>
        <w:tc>
          <w:tcPr>
            <w:tcW w:w="588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93"/>
              </w:rPr>
              <w:t>(Principal Accounting Officer)</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Date: November 3, 2009</w:t>
            </w:r>
          </w:p>
        </w:tc>
        <w:tc>
          <w:tcPr>
            <w:tcW w:w="4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5540" w:type="dxa"/>
            <w:vAlign w:val="bottom"/>
          </w:tcPr>
          <w:p>
            <w:pPr>
              <w:spacing w:after="0"/>
              <w:rPr>
                <w:sz w:val="24"/>
                <w:szCs w:val="24"/>
                <w:color w:val="auto"/>
              </w:rPr>
            </w:pPr>
          </w:p>
        </w:tc>
        <w:tc>
          <w:tcPr>
            <w:tcW w:w="4780" w:type="dxa"/>
            <w:vAlign w:val="bottom"/>
          </w:tcPr>
          <w:p>
            <w:pPr>
              <w:jc w:val="right"/>
              <w:ind w:right="4432"/>
              <w:spacing w:after="0"/>
              <w:rPr>
                <w:sz w:val="20"/>
                <w:szCs w:val="20"/>
                <w:color w:val="auto"/>
              </w:rPr>
            </w:pPr>
            <w:r>
              <w:rPr>
                <w:rFonts w:ascii="Arial" w:cs="Arial" w:eastAsia="Arial" w:hAnsi="Arial"/>
                <w:sz w:val="18"/>
                <w:szCs w:val="18"/>
                <w:color w:val="auto"/>
              </w:rPr>
              <w:t>78</w:t>
            </w:r>
          </w:p>
        </w:tc>
        <w:tc>
          <w:tcPr>
            <w:tcW w:w="1100" w:type="dxa"/>
            <w:vAlign w:val="bottom"/>
          </w:tcPr>
          <w:p>
            <w:pPr>
              <w:spacing w:after="0"/>
              <w:rPr>
                <w:sz w:val="24"/>
                <w:szCs w:val="24"/>
                <w:color w:val="auto"/>
              </w:rPr>
            </w:pPr>
          </w:p>
        </w:tc>
      </w:tr>
      <w:tr>
        <w:trPr>
          <w:trHeight w:val="228"/>
        </w:trPr>
        <w:tc>
          <w:tcPr>
            <w:tcW w:w="554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Kratos Defense &amp; Security Solutions, Inc., a corporation organized and existing under and by virtue of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(the “Corporation”), does hereby certify: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under which the Corporation was originally incorporated was Wireless Facilities, Inc.</w:t>
      </w:r>
    </w:p>
    <w:p>
      <w:pPr>
        <w:spacing w:after="0" w:line="225"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SECOND: The date on which the Certificate of Incorporation of the Corporation was originally filed with the Secretary of State of the State of Delaware was July 7, 1997.</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THIRD: The Board of Directors of the Corporation, acting in accordance with the provisions of Section 141 and 142 of the General Corporation Law of the State of Delaware adopted resolutions to amend paragraph (A) of ARTICLE IV of the Amended and Restated Certificate of Incorporation of the Corporation to read in its entirety as follows:</w:t>
      </w:r>
    </w:p>
    <w:p>
      <w:pPr>
        <w:spacing w:after="0" w:line="181" w:lineRule="exact"/>
        <w:rPr>
          <w:sz w:val="20"/>
          <w:szCs w:val="20"/>
          <w:color w:val="auto"/>
        </w:rPr>
      </w:pPr>
    </w:p>
    <w:p>
      <w:pPr>
        <w:ind w:left="1300" w:right="40"/>
        <w:spacing w:after="0" w:line="269" w:lineRule="auto"/>
        <w:rPr>
          <w:sz w:val="20"/>
          <w:szCs w:val="20"/>
          <w:color w:val="auto"/>
        </w:rPr>
      </w:pPr>
      <w:r>
        <w:rPr>
          <w:rFonts w:ascii="Arial" w:cs="Arial" w:eastAsia="Arial" w:hAnsi="Arial"/>
          <w:sz w:val="17"/>
          <w:szCs w:val="17"/>
          <w:color w:val="auto"/>
        </w:rPr>
        <w:t>“A. This corporation is authorized to issue two classes of stock to be designated, respectively, “Common Stock” and “Preferred Stock.” The total number of shares which the corporation is authorized to issue is two hundred million (200,000,000) shares. One hundred ninety five million (195,000,000) shares shall be Common Stock, each having a par value of one tenth of one cent ($0.001). Five million (5,000,000) shares shall be Preferred Stock, each having a par value of one tenth of one cent ($0.001). Effective as of 5:00 p.m., Eastern Time, on the date this Certificate of Amendment to Amended and Restated Certificate of Incorporation is filed with the Secretary of State of the State of Delaware, each ten (10) shares of this corporation’s Common Stock, par value $0.001 per share, issued and outstanding shall, automatically and without any action on the part of the respective holders thereof, be combined and converted into one (1) share of Common Stock, par value $0.001 per share, of this corporation. No fractional shares shall be issued and, in lieu thereof, any holder of less than one share of Common Stock shall be entitled to receive cash for such holder’s fractional share based upon the fair market value of the Common Stock as of the date this Certificate of Amendment is filed with the Secretary of State of the State of Delaware as determined by this corporation’s Board of Directors.”</w:t>
      </w:r>
    </w:p>
    <w:p>
      <w:pPr>
        <w:spacing w:after="0" w:line="183" w:lineRule="exact"/>
        <w:rPr>
          <w:sz w:val="20"/>
          <w:szCs w:val="20"/>
          <w:color w:val="auto"/>
        </w:rPr>
      </w:pPr>
    </w:p>
    <w:p>
      <w:pPr>
        <w:ind w:left="660" w:right="460"/>
        <w:spacing w:after="0" w:line="264" w:lineRule="auto"/>
        <w:rPr>
          <w:sz w:val="20"/>
          <w:szCs w:val="20"/>
          <w:color w:val="auto"/>
        </w:rPr>
      </w:pPr>
      <w:r>
        <w:rPr>
          <w:rFonts w:ascii="Arial" w:cs="Arial" w:eastAsia="Arial" w:hAnsi="Arial"/>
          <w:sz w:val="18"/>
          <w:szCs w:val="18"/>
          <w:color w:val="auto"/>
        </w:rPr>
        <w:t>FOURTH: This Certificate of Amendment to Amended and Restated Certificate of Incorporation was submitted to the stockholders of the Corporation and was duly approved by the required vote of the stockholders of the Corporation in accordance with Sections 222 and 242 of the Delaware General Corporation Law.</w:t>
      </w:r>
    </w:p>
    <w:p>
      <w:pPr>
        <w:spacing w:after="0" w:line="181"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IN WITNESS WHEREOF, Kratos Defense &amp; Security Solutions, Inc. has caused this Certificate of Amendment to be signed by its Executive Vice President and Chief Financial Officer as of September 10, 2009.</w:t>
      </w:r>
    </w:p>
    <w:p>
      <w:pPr>
        <w:spacing w:after="0" w:line="170"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Deanna H. Lund</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AGREEMENT AND GENERAL RELEASE OF CLAIMS</w:t>
      </w:r>
    </w:p>
    <w:p>
      <w:pPr>
        <w:spacing w:after="0" w:line="225" w:lineRule="exact"/>
        <w:rPr>
          <w:sz w:val="20"/>
          <w:szCs w:val="20"/>
          <w:color w:val="auto"/>
        </w:rPr>
      </w:pPr>
    </w:p>
    <w:p>
      <w:pPr>
        <w:jc w:val="both"/>
        <w:ind w:right="60" w:firstLine="630"/>
        <w:spacing w:after="0" w:line="235" w:lineRule="auto"/>
        <w:rPr>
          <w:sz w:val="20"/>
          <w:szCs w:val="20"/>
          <w:color w:val="auto"/>
        </w:rPr>
      </w:pPr>
      <w:r>
        <w:rPr>
          <w:rFonts w:ascii="Arial" w:cs="Arial" w:eastAsia="Arial" w:hAnsi="Arial"/>
          <w:sz w:val="18"/>
          <w:szCs w:val="18"/>
          <w:color w:val="auto"/>
        </w:rPr>
        <w:t>This Settlement Agreement and General Release of Claims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this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2009, by and between Kratos Defense &amp; Security Solutions, Inc. (“</w:t>
      </w:r>
      <w:r>
        <w:rPr>
          <w:rFonts w:ascii="Arial" w:cs="Arial" w:eastAsia="Arial" w:hAnsi="Arial"/>
          <w:sz w:val="18"/>
          <w:szCs w:val="18"/>
          <w:b w:val="1"/>
          <w:bCs w:val="1"/>
          <w:color w:val="auto"/>
        </w:rPr>
        <w:t>KRATOS</w:t>
      </w:r>
      <w:r>
        <w:rPr>
          <w:rFonts w:ascii="Arial" w:cs="Arial" w:eastAsia="Arial" w:hAnsi="Arial"/>
          <w:sz w:val="18"/>
          <w:szCs w:val="18"/>
          <w:color w:val="auto"/>
        </w:rPr>
        <w:t>”), KeyBank National Association (“</w:t>
      </w:r>
      <w:r>
        <w:rPr>
          <w:rFonts w:ascii="Arial" w:cs="Arial" w:eastAsia="Arial" w:hAnsi="Arial"/>
          <w:sz w:val="18"/>
          <w:szCs w:val="18"/>
          <w:b w:val="1"/>
          <w:bCs w:val="1"/>
          <w:color w:val="auto"/>
        </w:rPr>
        <w:t>KEYBANK</w:t>
      </w:r>
      <w:r>
        <w:rPr>
          <w:rFonts w:ascii="Arial" w:cs="Arial" w:eastAsia="Arial" w:hAnsi="Arial"/>
          <w:sz w:val="18"/>
          <w:szCs w:val="18"/>
          <w:color w:val="auto"/>
        </w:rPr>
        <w:t>”), Field Point III, Ltd. (“</w:t>
      </w:r>
      <w:r>
        <w:rPr>
          <w:rFonts w:ascii="Arial" w:cs="Arial" w:eastAsia="Arial" w:hAnsi="Arial"/>
          <w:sz w:val="18"/>
          <w:szCs w:val="18"/>
          <w:b w:val="1"/>
          <w:bCs w:val="1"/>
          <w:color w:val="auto"/>
        </w:rPr>
        <w:t>FIELD POINT</w:t>
      </w:r>
      <w:r>
        <w:rPr>
          <w:rFonts w:ascii="Arial" w:cs="Arial" w:eastAsia="Arial" w:hAnsi="Arial"/>
          <w:sz w:val="18"/>
          <w:szCs w:val="18"/>
          <w:color w:val="auto"/>
        </w:rPr>
        <w:t>”), and SPF CDO I, Ltd. (“</w:t>
      </w:r>
      <w:r>
        <w:rPr>
          <w:rFonts w:ascii="Arial" w:cs="Arial" w:eastAsia="Arial" w:hAnsi="Arial"/>
          <w:sz w:val="18"/>
          <w:szCs w:val="18"/>
          <w:b w:val="1"/>
          <w:bCs w:val="1"/>
          <w:color w:val="auto"/>
        </w:rPr>
        <w:t>SPF</w:t>
      </w:r>
      <w:r>
        <w:rPr>
          <w:rFonts w:ascii="Arial" w:cs="Arial" w:eastAsia="Arial" w:hAnsi="Arial"/>
          <w:sz w:val="18"/>
          <w:szCs w:val="18"/>
          <w:color w:val="auto"/>
        </w:rPr>
        <w:t>”). The parties to this Agreement are collectively referred to below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656"/>
        <w:spacing w:after="0" w:line="277" w:lineRule="auto"/>
        <w:tabs>
          <w:tab w:leader="none" w:pos="1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December 31, 2007, Kratos and KeyBank entered into a First Lien Credit Agreement and a Second Lien Credit Agreement (collectively, the “Credit Facilities”).</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January 2, 2008, KeyBank syndicated a portion of the First Lien Credit Agreement to Field Point and SPF.</w:t>
      </w:r>
    </w:p>
    <w:p>
      <w:pPr>
        <w:spacing w:after="0" w:line="225" w:lineRule="exact"/>
        <w:rPr>
          <w:rFonts w:ascii="Arial" w:cs="Arial" w:eastAsia="Arial" w:hAnsi="Arial"/>
          <w:sz w:val="18"/>
          <w:szCs w:val="18"/>
          <w:color w:val="auto"/>
        </w:rPr>
      </w:pPr>
    </w:p>
    <w:p>
      <w:pPr>
        <w:ind w:right="100" w:firstLine="656"/>
        <w:spacing w:after="0" w:line="259" w:lineRule="auto"/>
        <w:tabs>
          <w:tab w:leader="none" w:pos="1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June 4, 2009, Kratos filed a lawsuit against KeyBank, Field Point and SPF captioned Kratos Defense &amp; Security Solutions, Inc. v. Field Point III, Ltd., et al., Case No. 09-cv-1284 in the United States District Court for the Northern District of Ohio (the “Ohio Action”). The complaint filed in the Ohio Action alleged,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existence of an error in Schedule 7.12(c) to the Credit Facilities, and sought, </w:t>
      </w:r>
      <w:r>
        <w:rPr>
          <w:rFonts w:ascii="Arial" w:cs="Arial" w:eastAsia="Arial" w:hAnsi="Arial"/>
          <w:sz w:val="18"/>
          <w:szCs w:val="18"/>
          <w:i w:val="1"/>
          <w:iCs w:val="1"/>
          <w:color w:val="auto"/>
        </w:rPr>
        <w:t>inter alia</w:t>
      </w:r>
      <w:r>
        <w:rPr>
          <w:rFonts w:ascii="Arial" w:cs="Arial" w:eastAsia="Arial" w:hAnsi="Arial"/>
          <w:sz w:val="18"/>
          <w:szCs w:val="18"/>
          <w:color w:val="auto"/>
        </w:rPr>
        <w:t>, reformation of the Credit Facilities.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August 5, 2009, Field Point and SPF filed a lawsuit against Kratos and KeyBank captioned Field Point III, Ltd., et al. v. Kratos</w:t>
      </w:r>
    </w:p>
    <w:p>
      <w:pPr>
        <w:spacing w:after="0" w:line="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 xml:space="preserve">Defense &amp; Security Solutions, Inc., et al., Case No. 09-cv-6921 in the United States District Court for the Southern District of New York (the “New York Action”). The complaint filed in the New York action alleged,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Kratos improperly characterized certain insurance proceeds as EBITDA, and sought, </w:t>
      </w:r>
      <w:r>
        <w:rPr>
          <w:rFonts w:ascii="Arial" w:cs="Arial" w:eastAsia="Arial" w:hAnsi="Arial"/>
          <w:sz w:val="16"/>
          <w:szCs w:val="16"/>
          <w:i w:val="1"/>
          <w:iCs w:val="1"/>
          <w:color w:val="auto"/>
        </w:rPr>
        <w:t>inter alia</w:t>
      </w:r>
      <w:r>
        <w:rPr>
          <w:rFonts w:ascii="Arial" w:cs="Arial" w:eastAsia="Arial" w:hAnsi="Arial"/>
          <w:sz w:val="16"/>
          <w:szCs w:val="16"/>
          <w:color w:val="auto"/>
        </w:rPr>
        <w:t>, declaratory relief that the financial covenants referred to in Schedule 7.12(c) to the Credit Facilities were enforceable as written.</w:t>
      </w:r>
    </w:p>
    <w:p>
      <w:pPr>
        <w:spacing w:after="0" w:line="155" w:lineRule="exact"/>
        <w:rPr>
          <w:sz w:val="20"/>
          <w:szCs w:val="20"/>
          <w:color w:val="auto"/>
        </w:rPr>
      </w:pPr>
    </w:p>
    <w:p>
      <w:pPr>
        <w:ind w:right="140" w:firstLine="656"/>
        <w:spacing w:after="0" w:line="279"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of the Parties to this Agreement denies any wrongdoing by them, and they make no admissions of liability of any kind whatsoever. Field Point and SPF deny that they are subject to personal jurisdiction in the Northern District of Ohio, and all parties acknowledge and agree that this settlement is without waiver of or prejudice to Field Point’s and SPF’s position, and that nothing related in any way to this Agreement or the settlement shall be admissible in any proceeding or otherwise used to argue that such personal jurisdiction exists.</w:t>
      </w:r>
    </w:p>
    <w:p>
      <w:pPr>
        <w:spacing w:after="0" w:line="171" w:lineRule="exact"/>
        <w:rPr>
          <w:rFonts w:ascii="Arial" w:cs="Arial" w:eastAsia="Arial" w:hAnsi="Arial"/>
          <w:sz w:val="17"/>
          <w:szCs w:val="17"/>
          <w:color w:val="auto"/>
        </w:rPr>
      </w:pPr>
    </w:p>
    <w:p>
      <w:pPr>
        <w:ind w:right="100" w:firstLine="656"/>
        <w:spacing w:after="0" w:line="264" w:lineRule="auto"/>
        <w:tabs>
          <w:tab w:leader="none" w:pos="12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Parties recognize the uncertainties and costs of litigation and now desire amicably to resolve, compromise and settle any and all claims and controversies between them of whatever type (collectively “</w:t>
      </w:r>
      <w:r>
        <w:rPr>
          <w:rFonts w:ascii="Arial" w:cs="Arial" w:eastAsia="Arial" w:hAnsi="Arial"/>
          <w:sz w:val="18"/>
          <w:szCs w:val="18"/>
          <w:b w:val="1"/>
          <w:bCs w:val="1"/>
          <w:color w:val="auto"/>
        </w:rPr>
        <w:t>the Claims</w:t>
      </w:r>
      <w:r>
        <w:rPr>
          <w:rFonts w:ascii="Arial" w:cs="Arial" w:eastAsia="Arial" w:hAnsi="Arial"/>
          <w:sz w:val="18"/>
          <w:szCs w:val="18"/>
          <w:color w:val="auto"/>
        </w:rPr>
        <w:t>”), including but not limited to those claims asserted in the Ohio Action and the New York Action, and to provide for certain agreements upon certain terms and conditions.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7" w:lineRule="auto"/>
        <w:tabs>
          <w:tab w:leader="none" w:pos="12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Parties are executing contemporaneously with this Agreement the Third Amendment to First Lien Credit Agreement, attached hereto as Exhibit A, and the Third Amendment to Second Lien Credit Agreement, attached hereto as Exhibit B.</w:t>
      </w:r>
    </w:p>
    <w:p>
      <w:pPr>
        <w:spacing w:after="0" w:line="170" w:lineRule="exact"/>
        <w:rPr>
          <w:sz w:val="20"/>
          <w:szCs w:val="20"/>
          <w:color w:val="auto"/>
        </w:rPr>
      </w:pPr>
    </w:p>
    <w:p>
      <w:pPr>
        <w:ind w:right="20" w:firstLine="630"/>
        <w:spacing w:after="0" w:line="286" w:lineRule="auto"/>
        <w:rPr>
          <w:sz w:val="20"/>
          <w:szCs w:val="20"/>
          <w:color w:val="auto"/>
        </w:rPr>
      </w:pPr>
      <w:r>
        <w:rPr>
          <w:rFonts w:ascii="Arial" w:cs="Arial" w:eastAsia="Arial" w:hAnsi="Arial"/>
          <w:sz w:val="17"/>
          <w:szCs w:val="17"/>
          <w:color w:val="auto"/>
        </w:rPr>
        <w:t>NOW, THEREFORE, in order to settle the Claims and in consideration of the mutual covenants and promises contained herein, and for other good and valuable consideration, the receipt and sufficiency of which are hereby acknowledged by the Parties, and intending to be legally bound, the Parties hereby voluntarily, intentionally and upon the advice and guidance of their own counsel, execute this Agreement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TERMS</w:t>
      </w:r>
    </w:p>
    <w:p>
      <w:pPr>
        <w:spacing w:after="0" w:line="229"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Incorporation of Recitals</w:t>
      </w:r>
      <w:r>
        <w:rPr>
          <w:rFonts w:ascii="Arial" w:cs="Arial" w:eastAsia="Arial" w:hAnsi="Arial"/>
          <w:sz w:val="18"/>
          <w:szCs w:val="18"/>
          <w:color w:val="auto"/>
        </w:rPr>
        <w:t>. The recitals set forth above are incorporated into this Agreement as essential and binding terms.</w:t>
      </w:r>
    </w:p>
    <w:p>
      <w:pPr>
        <w:spacing w:after="0" w:line="225" w:lineRule="exact"/>
        <w:rPr>
          <w:rFonts w:ascii="Arial" w:cs="Arial" w:eastAsia="Arial" w:hAnsi="Arial"/>
          <w:sz w:val="18"/>
          <w:szCs w:val="18"/>
          <w:color w:val="auto"/>
        </w:rPr>
      </w:pPr>
    </w:p>
    <w:p>
      <w:pPr>
        <w:jc w:val="both"/>
        <w:ind w:right="100" w:firstLine="656"/>
        <w:spacing w:after="0" w:line="312"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Dismissal of Pending Actions</w:t>
      </w:r>
      <w:r>
        <w:rPr>
          <w:rFonts w:ascii="Arial" w:cs="Arial" w:eastAsia="Arial" w:hAnsi="Arial"/>
          <w:sz w:val="16"/>
          <w:szCs w:val="16"/>
          <w:color w:val="auto"/>
        </w:rPr>
        <w:t>. Kratos acknowledges and consents to the dismissal with prejudice of the Ohio Action entered by the United States District Court for the Northern District of Ohio on August 27, 2009. Field Point and SPF agree to dismiss the New York Action with prejudice within ten(10) calendar days after execution of this Agreement. Each party in the Ohio Action and the New York Action will bear its own costs.</w:t>
      </w:r>
    </w:p>
    <w:p>
      <w:pPr>
        <w:spacing w:after="0" w:line="146" w:lineRule="exact"/>
        <w:rPr>
          <w:rFonts w:ascii="Arial" w:cs="Arial" w:eastAsia="Arial" w:hAnsi="Arial"/>
          <w:sz w:val="16"/>
          <w:szCs w:val="16"/>
          <w:color w:val="auto"/>
        </w:rPr>
      </w:pPr>
    </w:p>
    <w:p>
      <w:pPr>
        <w:jc w:val="both"/>
        <w:ind w:right="40" w:firstLine="656"/>
        <w:spacing w:after="0" w:line="264"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Reformation of Schedule 7.12(c).</w:t>
      </w:r>
      <w:r>
        <w:rPr>
          <w:rFonts w:ascii="Arial" w:cs="Arial" w:eastAsia="Arial" w:hAnsi="Arial"/>
          <w:sz w:val="18"/>
          <w:szCs w:val="18"/>
          <w:color w:val="auto"/>
        </w:rPr>
        <w:t xml:space="preserve"> KEYBANK, FIELD POINT and SPF, agree to reformation of Schedule 7.12(c) to the Credit Facilities, to include the current portion of long term debt in the denominator of the computation for all periods as provided in the KRATOS Complaint in the Ohio Action, as set forth in Exhibits D and E, thereto.</w:t>
      </w:r>
    </w:p>
    <w:p>
      <w:pPr>
        <w:spacing w:after="0" w:line="181" w:lineRule="exact"/>
        <w:rPr>
          <w:rFonts w:ascii="Arial" w:cs="Arial" w:eastAsia="Arial" w:hAnsi="Arial"/>
          <w:sz w:val="18"/>
          <w:szCs w:val="18"/>
          <w:color w:val="auto"/>
        </w:rPr>
      </w:pPr>
    </w:p>
    <w:p>
      <w:pPr>
        <w:ind w:right="400" w:firstLine="656"/>
        <w:spacing w:after="0" w:line="342"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Amendment to Credit Facilities</w:t>
      </w:r>
      <w:r>
        <w:rPr>
          <w:rFonts w:ascii="Arial" w:cs="Arial" w:eastAsia="Arial" w:hAnsi="Arial"/>
          <w:sz w:val="16"/>
          <w:szCs w:val="16"/>
          <w:color w:val="auto"/>
        </w:rPr>
        <w:t>. The Parties agree to execute the Third Amendment to First Lien Credit Agreement, attached hereto as Exhibit A, and the Third Amendment to Second Lien Credit Agreement, attached hereto as Exhibit B, contemporaneously with this Agreement.</w:t>
      </w:r>
    </w:p>
    <w:p>
      <w:pPr>
        <w:spacing w:after="0" w:line="123" w:lineRule="exact"/>
        <w:rPr>
          <w:rFonts w:ascii="Arial" w:cs="Arial" w:eastAsia="Arial" w:hAnsi="Arial"/>
          <w:sz w:val="16"/>
          <w:szCs w:val="16"/>
          <w:color w:val="auto"/>
        </w:rPr>
      </w:pPr>
    </w:p>
    <w:p>
      <w:pPr>
        <w:ind w:right="340" w:firstLine="656"/>
        <w:spacing w:after="0" w:line="277"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Effective upon both (1) the execution of this Agreement by the Parties, and (2) the Effective Date of the Third Amendment to First Lien Credit Agreement (the “Effective Date”);</w:t>
      </w:r>
    </w:p>
    <w:p>
      <w:pPr>
        <w:spacing w:after="0" w:line="170" w:lineRule="exact"/>
        <w:rPr>
          <w:rFonts w:ascii="Arial" w:cs="Arial" w:eastAsia="Arial" w:hAnsi="Arial"/>
          <w:sz w:val="18"/>
          <w:szCs w:val="18"/>
          <w:color w:val="auto"/>
        </w:rPr>
      </w:pPr>
    </w:p>
    <w:p>
      <w:pPr>
        <w:ind w:right="120" w:firstLine="710"/>
        <w:spacing w:after="0" w:line="320" w:lineRule="auto"/>
        <w:tabs>
          <w:tab w:leader="none" w:pos="1284" w:val="left"/>
        </w:tabs>
        <w:numPr>
          <w:ilvl w:val="1"/>
          <w:numId w:val="33"/>
        </w:numPr>
        <w:rPr>
          <w:rFonts w:ascii="Arial" w:cs="Arial" w:eastAsia="Arial" w:hAnsi="Arial"/>
          <w:sz w:val="15"/>
          <w:szCs w:val="15"/>
          <w:color w:val="auto"/>
        </w:rPr>
      </w:pPr>
      <w:r>
        <w:rPr>
          <w:rFonts w:ascii="Arial" w:cs="Arial" w:eastAsia="Arial" w:hAnsi="Arial"/>
          <w:sz w:val="15"/>
          <w:szCs w:val="15"/>
          <w:color w:val="auto"/>
        </w:rPr>
        <w:t>Subject to the last paragraph of this Section 4(a), Kratos, its affiliates and their respective representatives, attorneys, agents, employees, officers, directors, shareholders, predecessors, successors, parent and sister companies, partners, affiliates and assigns hereby releases and forever discharges KeyBank, Field Point, SPF, their affiliates, including but not limited to Silver Point Capital, L.P., and their respective representatives, attorneys, agents, employees, officers, directors, shareholders, predecessors, successors, parent and sister companies, partners, affiliates and assigns of and from any and all claims, demands, obligations, indebtedness, breaches of duty or any relationship, acts, omissions, misfeasance, actions, causes of action, choses in action,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721" w:gutter="0" w:footer="0" w:header="0"/>
        </w:sectPr>
      </w:pPr>
    </w:p>
    <w:bookmarkStart w:id="81" w:name="page82"/>
    <w:bookmarkEnd w:id="81"/>
    <w:p>
      <w:pPr>
        <w:ind w:right="60"/>
        <w:spacing w:after="0" w:line="269" w:lineRule="auto"/>
        <w:rPr>
          <w:sz w:val="20"/>
          <w:szCs w:val="20"/>
          <w:color w:val="auto"/>
        </w:rPr>
      </w:pPr>
      <w:r>
        <w:rPr>
          <w:rFonts w:ascii="Arial" w:cs="Arial" w:eastAsia="Arial" w:hAnsi="Arial"/>
          <w:sz w:val="17"/>
          <w:szCs w:val="17"/>
          <w:color w:val="auto"/>
        </w:rPr>
        <w:t>suits, controversies, disputes, challenges, sums of money, accounts, controversies, promises, damages, costs, expenses, attorneys’ fees, losses and expenses, injuries, debts, rights, rights to payment, rights to equitable remedies, rights to legal or equitable relief, allegations, counterclaims, cross-claims, contracts, covenants, agreements, promises, trespasses, torts, tortious conduct, dues, accounts, bonds, bills, notices, judgments, executions, liens, encumbrances, contribution rights, indemnity rights, and liabilities of every type, kind, nature, description or character whatsoever in law, equity or otherwise, whether known or unknown, suspected or unsuspected, asserted or unasserted, liquidated or unliquidated, fixed or contingent, matured or unmatured, accrued or inchoate, which have existed or which do exist, each as though fully set forth herein at length, that Kratos, its affiliates and their respective representatives, attorneys, agents, employees, officers, directors, shareholders, predecessors, successors, parent and sister companies, partners, affiliates and assigns at any time had, owned or held from the beginning of the world through the date of this Agreement against any of KeyBank, Field Point, SPF, their affiliates , including but not limited to Silver Point Capital, L.P. ,and their respective representatives, attorneys, agents, employees, officers, directors, shareholders, predecessors, successors, parent and sister companies, partners, affiliates and assigns, including but not limited to any claims raised or which could have been raised in the Ohio Action or the New York Action.</w:t>
      </w:r>
    </w:p>
    <w:p>
      <w:pPr>
        <w:spacing w:after="0" w:line="183" w:lineRule="exact"/>
        <w:rPr>
          <w:sz w:val="20"/>
          <w:szCs w:val="20"/>
          <w:color w:val="auto"/>
        </w:rPr>
      </w:pPr>
    </w:p>
    <w:p>
      <w:pPr>
        <w:jc w:val="both"/>
        <w:ind w:right="340" w:firstLine="648"/>
        <w:spacing w:after="0" w:line="302" w:lineRule="auto"/>
        <w:rPr>
          <w:sz w:val="20"/>
          <w:szCs w:val="20"/>
          <w:color w:val="auto"/>
        </w:rPr>
      </w:pPr>
      <w:r>
        <w:rPr>
          <w:rFonts w:ascii="Arial" w:cs="Arial" w:eastAsia="Arial" w:hAnsi="Arial"/>
          <w:sz w:val="16"/>
          <w:szCs w:val="16"/>
          <w:color w:val="auto"/>
        </w:rPr>
        <w:t>Without limiting the foregoing, as of the Effective Date, Kratos further waives and relinquishes to the fullest extent permitted by law, any and all provisions, rights and benefits conferred by any law of the United States or any state or territory of the United States, or principle of common law, which governs or limits a person’s release of unknown claims; further, (i) Kratos shall be deemed to waive, and hereby expressly waives and relinquishes, to the fullest extent permitted by law, the provisions, rights and benefits of Section 1542 of the California Civil Code, which provides as follows:</w:t>
      </w:r>
    </w:p>
    <w:p>
      <w:pPr>
        <w:spacing w:after="0" w:line="154"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240" w:firstLine="8"/>
        <w:spacing w:after="0" w:line="342"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Kratos also shall be deemed to waive, and hereby expressly waives and relinquishes, any and all provisions, rights and benefits conferred by any law of any state or territory of the United States, or principle of common law, which is similar, comparable or equivalent to California Civil Code § 1542.</w:t>
      </w:r>
    </w:p>
    <w:p>
      <w:pPr>
        <w:spacing w:after="0" w:line="1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Notwithstanding the foregoing, neither this Release nor this settlement Agreement shall have the effect of releasing, impairing, or in any way affecting the Parties’ rights and obligations under the Credit Facilities going forward. For the avoidance of any doubt, the Credit Facilities and any related loan documents will remain in full force and effect as reformed and amended by this Agreement and the Third Amendment to First Lien Credit Agreement, attached hereto as Exhibit A, and the Third Amendment to Second Lien Credit Agreement, attached hereto as Exhibit B, and all amounts due and owing with respect to the loans made thereunder shall remain in full force and effect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releases set forth above shall not apply to such indebtedness or any obligation, for repayment or otherwise, associated therewith. The Administrative Agent and the Lenders confirm that as of the date hereof, and upon receipt by the Administrative Agent and the Lenders of the amounts described in Sections 11(a)(iv) and 11(b) of the Third Amendment, they are not aware of any amounts due or payable as of the date hereof in connection with the Credit Facilities (excluding, for the avoidance of doubt, any accrued but not yet due and payable interest thereunder and the earned but not yet due and payable portion of any commitment, agency or other fee thereunder).</w:t>
      </w:r>
    </w:p>
    <w:p>
      <w:pPr>
        <w:spacing w:after="0" w:line="188" w:lineRule="exact"/>
        <w:rPr>
          <w:sz w:val="20"/>
          <w:szCs w:val="20"/>
          <w:color w:val="auto"/>
        </w:rPr>
      </w:pPr>
    </w:p>
    <w:p>
      <w:pPr>
        <w:ind w:firstLine="710"/>
        <w:spacing w:after="0" w:line="286" w:lineRule="auto"/>
        <w:tabs>
          <w:tab w:leader="none" w:pos="1294"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the last paragraph of this Section 4(b), KeyBank, its affiliates and their respective representatives, attorneys, agents, employees, officers, directors, shareholders, predecessors, successors, parent and sister companies, partners, affiliates and assigns hereby releases and forever discharges Kratos, its affiliates and their respective representatives, attorneys, agents, employees, officers, directors, shareholders, predecessors, successors, parent and sister companies, partners, affiliates and assigns of and from any and all claims, demands, obligations, indebtedness, breaches of duty or any relationship, acts, omissions, misfeasance, actions, causes of action, choses in action, suits, controversies, disputes, challenges, sums of money, accounts, controversies, promises, damages, costs, expenses, attorneys’ fees, losses and expenses, injuries, debts, rights, rights to payment, rights to equitable remedies, rights to legal or equitable relief, allegations, counterclaims, cross-claims, contracts, covenants, agreements, promises, trespasses, torts, tortious conduct, dues, accounts, bonds, bills, notices, judgments, executions, liens, encumbrances, contribution rights, indemnity rights, and liabilities of every type, kind, nature, description or character whatsoever in law, equity or otherwise, whether known or unknown, suspected or unsuspected, asserted or unasserted, liquidated or unliquidated, fixed or contingent, matured or unmatured, accrued or inchoate, which have existed or which do exist, each as though fully set forth herein at length, that KeyBank, its affiliates and their respective representatives, attorneys, agents, employees, officers, directors, shareholders, predecessors, successors, parent and sister companies, partners, affiliates and assigns at any time had, owned or held from the beginning of the world through the date of this Agreement against Kratos, its affiliates and their respective representatives, attorneys, agents, employees, officers, directors, shareholders, predecessors, successors, parent and sister companies, partners, affiliates and assigns, including but not limited to any claims raised or which could have been raised in the Ohio Action or the New York Action.</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KeyBank, its affiliates and their respective representatives, attorneys, agents, employees, officers, directors, shareholders, predecessors, successors, parent and sister companies, partners, affiliates and assigns hereby release and forever discharge Field Point, SPF, their affiliates, including but not limited to Silver Point Capital, L.P., and their respective representatives, attorneys, agents, employees, officers, directors, shareholders, predecessors, successors, parent and sister companies, partners, affiliates and assigns of and from any and all claims, demands, obligations, indebtedness, breaches of duty or any relationship, acts, omissions, misfeasance, actions, causes of action, choses in action, suits, controversies, disputes, challenges, sums of money, accounts, controversies, promises, damages, costs, expenses, attorneys’ fees, losses and expenses, injuries, debts, rights, rights to payment, rights to equitable remedies, rights to legal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equitable relief, allegations, counterclaims, cross-claims, contracts, covenants, agreements, promises, trespasses, torts, tortious conduct, dues, accounts, bonds, bills, notices, judgments, executions, liens, encumbrances, contribution rights, indemnity rights, and liabilities of every type, kind, nature, description or character whatsoever in law, equity or otherwise, whether known or unknown, suspected or unsuspected, asserted or unasserted, liquidated or unliquidated, fixed or contingent, matured or unmatured, accrued or inchoate, which have existed or which do exist, each as though fully set forth herein at length, that KeyBank, its affiliates and their respective representatives, attorneys, agents, employees, officers, directors, shareholders, predecessors, successors, parent and sister companies, partners, affiliates and assigns at any time had, owned or held from the beginning of the world through the date of this Agreement against Field Point, SPF, their affiliates, including but not limited to Silver Point Capital, L.P., and their respective representatives, attorneys, agents, employees,</w:t>
      </w:r>
    </w:p>
    <w:p>
      <w:pPr>
        <w:sectPr>
          <w:pgSz w:w="11900" w:h="16838" w:orient="portrait"/>
          <w:cols w:equalWidth="0" w:num="1">
            <w:col w:w="11420"/>
          </w:cols>
          <w:pgMar w:left="240" w:top="125" w:right="239" w:bottom="0" w:gutter="0" w:footer="0" w:header="0"/>
        </w:sectPr>
      </w:pPr>
    </w:p>
    <w:bookmarkStart w:id="82" w:name="page83"/>
    <w:bookmarkEnd w:id="82"/>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officers, directors, shareholders, predecessors, successors, parent and sister companies, partners, affiliates and assigns, arising from or in connection with the Credit Facilities.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Without limiting the foregoing, as of the Effective Date, KeyBank further waives and relinquishes to the fullest extent permitted by law, any and all provisions, rights and benefits conferred by any law of the United States or any state or territory of the United States, or principle of common law, which governs or limits a person’s release of unknown claims; further, (i) KeyBank shall be deemed to waive, and hereby expressly waives and relinquishes, to the fullest extent permitted by law, the provisions, rights and benefits of Section 1542 of the California Civil Code, which provides as follows:</w:t>
      </w:r>
    </w:p>
    <w:p>
      <w:pPr>
        <w:spacing w:after="0" w:line="154"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40" w:firstLine="8"/>
        <w:spacing w:after="0" w:line="308"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KeyBank also shall be deemed to waive, and hereby expressly waives and relinquishes, any and all provisions, rights and benefits conferred by any law of any state or territory of the United States, or principle of common law, which is similar, comparable or equivalent to California Civil Code § 1542.</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Notwithstanding the foregoing, neither this Release nor this settlement Agreement shall have the effect of releasing, impairing, or in any way affecting the Parties’ rights and obligations under the Credit Facilities going forward. For the avoidance of any doubt, the Credit Facilities and any related loan documents will remain in full force and effect as reformed and amended by this Agreement and the Third Amendment to First Lien Credit Agreement, attached hereto as Exhibit A, and the Third Amendment to Second Lien Credit Agreement, attached hereto as Exhibit B, and all amounts due and owing with respect to the loans made thereunder shall remain in full force and effect and the releases set forth above shall not apply to such indebtedness or any obligation, for repayment or otherwise, associated therewith. The Administrative Agent and the Lenders confirm that as of the date hereof, and upon receipt by the Administrative Agent and the Lenders of the amounts described in Sections 11(a)(iv) and 11(b) of the Third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Amendment, they are not aware of any amounts due or payable as of the date hereof in connection with the Credit Facilities (excluding, for the avoidance of doubt, any accrued but not yet due and payable interest thereunder and the earned but not yet due and payable portion of any commitment, agency or other fee thereunder).</w:t>
      </w:r>
    </w:p>
    <w:p>
      <w:pPr>
        <w:spacing w:after="0" w:line="181" w:lineRule="exact"/>
        <w:rPr>
          <w:sz w:val="20"/>
          <w:szCs w:val="20"/>
          <w:color w:val="auto"/>
        </w:rPr>
      </w:pPr>
    </w:p>
    <w:p>
      <w:pPr>
        <w:ind w:firstLine="710"/>
        <w:spacing w:after="0" w:line="286" w:lineRule="auto"/>
        <w:tabs>
          <w:tab w:leader="none" w:pos="12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the last paragraph of this Section 4(c), Field Point, SPF, their affiliates, including but not limited to Silver Point Capital, L.P., and their respective representatives, attorneys, agents, employees, officers, directors, shareholders, predecessors, successors, parent and sister companies, partners, affiliates and assigns hereby release and forever discharge Kratos, its affiliates and their respective representatives, attorneys, agents, employees, officers, directors, shareholders, predecessors, successors, parent and sister companies, partners, affiliates and assigns of and from any and all claims, demands, obligations, indebtedness, breaches of duty or any relationship, acts, omissions, misfeasance, actions, causes of action, choses in action, suits, controversies, disputes, challenges, sums of money, accounts, controversies, promises, damages, costs, expenses, attorneys’ fees, losses and expenses, injuries, debts, rights, rights to payment, rights to equitable remedies, rights to legal or equitable relief, allegations, counterclaims, cross-claims, contracts, covenants, agreements, promises, trespasses, torts, tortious conduct, dues, accounts, bonds, bills, notices, judgments, executions, liens, encumbrances, contribution rights, indemnity rights, and liabilities of every type, kind, nature, description or character whatsoever in law, equity or otherwise, whether known or unknown, suspected or unsuspected, asserted or unasserted, liquidated or unliquidated, fixed or contingent, matured or unmatured, accrued or inchoate, which have existed or which do exist, each as though fully set forth herein at length, that Field Point, SPF, their affiliates and their respective representatives, attorneys, agents, employees, officers, directors, shareholders, predecessors, successors, parent and sister companies, partners, affiliates and assigns at any time had, owned or held from the beginning of the world through the date of this Agreement against any of Kratos, its affiliates and their respective representatives, attorneys, agents, employees, officers, directors, shareholders, predecessors, successors, parent and sister companies, partners, affiliates and assigns, including but not limited to any claims raised or which could have been raised in the Ohio Action or the New York Action.</w:t>
      </w:r>
    </w:p>
    <w:p>
      <w:pPr>
        <w:spacing w:after="0" w:line="1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Field Point, SPF their affiliates, including but not limited to Silver Point Capital, L.P., and their respective representatives, attorneys, agents, employees, officers, directors, shareholders, predecessors, successors, parent and sister companies, partners, affiliates and assigns hereby release and forever discharge KeyBank, its affiliates and their respective representatives, attorneys, agents, employees, officers, directors, shareholders, predecessors, successors, parent and sister companies, partners, affiliates and assigns of and from any and all claims, demands, obligations, indebtedness, breaches of duty or any relationship, acts, omissions, misfeasance, actions, causes of action, choses in action, suits, controversies, disputes, challenges, sums of money, accounts, controversies, promises, damages, costs, expenses, attorneys’ fees, losses and expenses, injuries, debts, rights, rights to payment, rights to equitable remedies, rights to legal or equitable relief, allegations, counterclaims, cross-claims, contracts, covenants, agreements, promises, trespasses, torts, tortious conduct, dues, accounts, bonds, bills, notices, judgments, executions, liens, encumbrances, contribution rights, indemnity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rights, and liabilities of every type, kind, nature, description or character whatsoever in law, equity or otherwise, whether known or unknown, suspected or unsuspected, asserted or unasserted, liquidated or unliquidated, fixed or contingent, matured or unmatured, accrued or inchoate, which have existed or which do exist, each as though fully set forth herein at length, that Field Point, SPF, their affiliates, including but not limited to Silver Point Capital, L.P., and their respective representatives, attorneys, agents, employees, officers, directors, shareholders, predecessors, successors, parent and sister companies, partners, affiliates and assigns at any time had, owned or held from the beginning of the world through the date of this Agreement against any of KeyBank, its affiliates and their respective representatives, attorneys, agents, employees, officers, directors, shareholders, predecessors, successors, parent and sister companies, partners, affiliates and assigns, arising from or in connection with the Credit Facilities.</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Without limiting the foregoing, as of the Effective Date, Field Point and SPF further waive and relinquish to the fullest extent permitted by law, any and all provisions, rights and benefits conferred by any law of the United States or any state or territory of the United States, or principle of common law, which governs or limits a person’s release of unknown claims; further, (i) Field Point and SPF shall be deemed to waive, and hereby expressly waive and relinquish, to the fullest extent permitted by law, the provisions, rights and benefits of Section 1542 of the California Civil Code, which provides as follows:</w:t>
      </w:r>
    </w:p>
    <w:p>
      <w:pPr>
        <w:spacing w:after="0" w:line="154"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ectPr>
          <w:pgSz w:w="11900" w:h="16918" w:orient="portrait"/>
          <w:cols w:equalWidth="0" w:num="1">
            <w:col w:w="11420"/>
          </w:cols>
          <w:pgMar w:left="240" w:top="125" w:right="239" w:bottom="0" w:gutter="0" w:footer="0" w:header="0"/>
        </w:sectPr>
      </w:pPr>
    </w:p>
    <w:bookmarkStart w:id="83" w:name="page84"/>
    <w:bookmarkEnd w:id="83"/>
    <w:p>
      <w:pPr>
        <w:ind w:right="60" w:firstLine="8"/>
        <w:spacing w:after="0" w:line="342"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Field Point and SPF also shall be deemed to waive, and hereby expressly waive and relinquish, any and all provisions, rights and benefits conferred by any law of any state or territory of the United States, or principle of common law, which is similar, comparable or equivalent to California Civil Code § 1542.</w:t>
      </w:r>
    </w:p>
    <w:p>
      <w:pPr>
        <w:spacing w:after="0" w:line="12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Notwithstanding the foregoing, neither this Release nor this settlement Agreement shall have the effect of releasing, impairing, or in any way affecting the Parties’ rights and obligations under the Credit Facilities going forward. For the avoidance of any doubt, the Credit Facilities and any related loan documents will remain in full force and effect as reformed and amended by this Agreement and the Third Amendment to First Lien Credit Agreement, attached hereto as Exhibit A, and the Third Amendment to Second Lien Credit Agreement, attached hereto as Exhibit B, and all amounts due and owing with respect to the loans made thereunder shall remain in full force and effect and the releases set forth above shall not apply to such indebtedness or any obligation, for repayment or otherwise, associated therewith. The Administrative Agent and the Lenders confirm that as of the date hereof, and upon receipt by the Administrative Agent and the Lenders of the amounts described in Sections 11(a)(iv) and 11(b) of the Third Amendment, they are not aware of any amounts due or payable as of the date hereof in connection with the Credit Facilities (excluding, for the avoidance of doubt, any accrued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but not yet due and payable interest thereunder and the earned but not yet due and payable portion of any commitment, agency or other fee thereunder).</w:t>
      </w:r>
    </w:p>
    <w:p>
      <w:pPr>
        <w:spacing w:after="0" w:line="248" w:lineRule="exact"/>
        <w:rPr>
          <w:sz w:val="20"/>
          <w:szCs w:val="20"/>
          <w:color w:val="auto"/>
        </w:rPr>
      </w:pPr>
    </w:p>
    <w:p>
      <w:pPr>
        <w:ind w:right="60" w:firstLine="656"/>
        <w:spacing w:after="0" w:line="277" w:lineRule="auto"/>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Compromise of Disputed Claims</w:t>
      </w:r>
      <w:r>
        <w:rPr>
          <w:rFonts w:ascii="Arial" w:cs="Arial" w:eastAsia="Arial" w:hAnsi="Arial"/>
          <w:sz w:val="18"/>
          <w:szCs w:val="18"/>
          <w:color w:val="auto"/>
        </w:rPr>
        <w:t>. This Agreement constitutes the compromise and settlement of disputed claims and is not an admission of liability on the part of any of the Parties.</w:t>
      </w:r>
    </w:p>
    <w:p>
      <w:pPr>
        <w:spacing w:after="0" w:line="170" w:lineRule="exact"/>
        <w:rPr>
          <w:rFonts w:ascii="Arial" w:cs="Arial" w:eastAsia="Arial" w:hAnsi="Arial"/>
          <w:sz w:val="18"/>
          <w:szCs w:val="18"/>
          <w:color w:val="auto"/>
        </w:rPr>
      </w:pPr>
    </w:p>
    <w:p>
      <w:pPr>
        <w:ind w:right="160" w:firstLine="656"/>
        <w:spacing w:after="0" w:line="279" w:lineRule="auto"/>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Party hereby makes the following representations and warranties to induce each of the other Parties to enter into this Agreement, and each Party acknowledges that each of the other Parties are reasonably relying upon each of these representations and warranties as a material inducement to execution of this Agreement, and each Party further agrees that any breach of these representations and warranties would be a basis on which to rescind this Agreement, including without limitation the Parties’ releases:</w:t>
      </w:r>
    </w:p>
    <w:p>
      <w:pPr>
        <w:spacing w:after="0" w:line="171" w:lineRule="exact"/>
        <w:rPr>
          <w:rFonts w:ascii="Arial" w:cs="Arial" w:eastAsia="Arial" w:hAnsi="Arial"/>
          <w:sz w:val="17"/>
          <w:szCs w:val="17"/>
          <w:color w:val="auto"/>
        </w:rPr>
      </w:pPr>
    </w:p>
    <w:p>
      <w:pPr>
        <w:ind w:left="1920" w:hanging="615"/>
        <w:spacing w:after="0"/>
        <w:tabs>
          <w:tab w:leader="none" w:pos="1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Parties represent and warrant that Kratos’s financial statements dated June 28, 2009 are material to this Agreement.</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Kratos represents and warrants that Kratos’s financial statements dated June 28, 2009 are not fraudulent.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not committed any fraud in connection with the Credit Facilities.</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no reason or evidence to believe that Kratos’s financial statements dated June 28, 2009 were fraudulent or a basis to invalidate this Agreement.</w:t>
      </w:r>
    </w:p>
    <w:p>
      <w:pPr>
        <w:spacing w:after="0" w:line="170" w:lineRule="exact"/>
        <w:rPr>
          <w:rFonts w:ascii="Arial" w:cs="Arial" w:eastAsia="Arial" w:hAnsi="Arial"/>
          <w:sz w:val="18"/>
          <w:szCs w:val="18"/>
          <w:color w:val="auto"/>
        </w:rPr>
      </w:pPr>
    </w:p>
    <w:p>
      <w:pPr>
        <w:ind w:left="660" w:right="680" w:firstLine="645"/>
        <w:spacing w:after="0" w:line="277" w:lineRule="auto"/>
        <w:tabs>
          <w:tab w:leader="none" w:pos="19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no reason or evidence to believe that any other Party has committed fraud in connection with the Credit Facilities.</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all requisite power and authority to enter into this Agreement, and to perform all of its obligations hereunder.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duly authorized the execution, delivery, and performance of this Agreement, and no other approval or authorization is required by it or on its behalf.</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9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is not prohibited or restricted from consummating the transactions memorialized by or contemplated in this Agreement under or by any agreement, law, regulation, restriction, order or judgment.</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this Agreement has been duly executed by it, and that this Agreement constitutes a legal, valid, and binding obligation enforceable in accordance with its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64" w:lineRule="auto"/>
        <w:tabs>
          <w:tab w:leader="none" w:pos="19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of the Parties represents and warrants that it had competent and qualified legal counsel of its own choosing review and advise it with regard to the scope and legal effect and all aspects of this Agreement, and has relied solely on the express terms of this Agreement, its own judgment and the advice of its legal counsel in executing this Agreement.</w:t>
      </w:r>
    </w:p>
    <w:p>
      <w:pPr>
        <w:spacing w:after="0" w:line="181" w:lineRule="exact"/>
        <w:rPr>
          <w:rFonts w:ascii="Arial" w:cs="Arial" w:eastAsia="Arial" w:hAnsi="Arial"/>
          <w:sz w:val="18"/>
          <w:szCs w:val="18"/>
          <w:color w:val="auto"/>
        </w:rPr>
      </w:pPr>
    </w:p>
    <w:p>
      <w:pPr>
        <w:ind w:firstLine="710"/>
        <w:spacing w:after="0" w:line="259" w:lineRule="auto"/>
        <w:tabs>
          <w:tab w:leader="none" w:pos="125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Representation</w:t>
      </w:r>
      <w:r>
        <w:rPr>
          <w:rFonts w:ascii="Arial" w:cs="Arial" w:eastAsia="Arial" w:hAnsi="Arial"/>
          <w:sz w:val="18"/>
          <w:szCs w:val="18"/>
          <w:color w:val="auto"/>
        </w:rPr>
        <w:t>. Kratos hereby makes the following representation to induce each of the other Parties to enter into this Agreement, and each Party acknowledges that each of the other Parties are reasonably relying upon the following representation as a material inducement to execution of this Agreement, and each Party further agrees that if the following representation were knowingly false when made, then that would be a basis on which to rescind this Agreement, including without limitation the Parties’ releases:</w:t>
      </w:r>
    </w:p>
    <w:p>
      <w:pPr>
        <w:spacing w:after="0" w:line="183" w:lineRule="exact"/>
        <w:rPr>
          <w:sz w:val="20"/>
          <w:szCs w:val="20"/>
          <w:color w:val="auto"/>
        </w:rPr>
      </w:pPr>
    </w:p>
    <w:p>
      <w:pPr>
        <w:ind w:left="660" w:right="240" w:firstLine="648"/>
        <w:spacing w:after="0" w:line="282"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w:t>
      </w:r>
      <w:r>
        <w:rPr>
          <w:rFonts w:ascii="Arial" w:cs="Arial" w:eastAsia="Arial" w:hAnsi="Arial"/>
          <w:sz w:val="18"/>
          <w:szCs w:val="18"/>
          <w:color w:val="auto"/>
        </w:rPr>
        <w:t xml:space="preserve"> Kratos represents that Kratos’s financial statements dated June 28, 2009 are properly stated, and that there have been no material changes thereto since that time.</w:t>
      </w:r>
    </w:p>
    <w:p>
      <w:pPr>
        <w:spacing w:after="0" w:line="166" w:lineRule="exact"/>
        <w:rPr>
          <w:sz w:val="20"/>
          <w:szCs w:val="20"/>
          <w:color w:val="auto"/>
        </w:rPr>
      </w:pPr>
    </w:p>
    <w:p>
      <w:pPr>
        <w:ind w:right="20" w:firstLine="656"/>
        <w:spacing w:after="0" w:line="259"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No Party to this Agreement, nor any other individual or entity under their control or influence, shall disclose or reveal directly or indirectly, orally or in writing, spontaneously or in response to inquiry, to any person or entity the Parties’ negotiations over the matters released by this Agreement. The Parties agree that they will instruct their agents and attorneys not to discuss or disclose the Parties negotiations over the matters released by this Agreement.</w:t>
      </w:r>
    </w:p>
    <w:p>
      <w:pPr>
        <w:spacing w:after="0" w:line="186" w:lineRule="exact"/>
        <w:rPr>
          <w:rFonts w:ascii="Arial" w:cs="Arial" w:eastAsia="Arial" w:hAnsi="Arial"/>
          <w:sz w:val="18"/>
          <w:szCs w:val="18"/>
          <w:color w:val="auto"/>
        </w:rPr>
      </w:pPr>
    </w:p>
    <w:p>
      <w:pPr>
        <w:ind w:right="140" w:firstLine="656"/>
        <w:spacing w:after="0" w:line="312" w:lineRule="auto"/>
        <w:tabs>
          <w:tab w:leader="none" w:pos="125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Parties each hereby covenant and agree that no one who is part of the management control group, i.e., those persons with authority to make decisions on behalf of any Party, shall directly or indirectly make any statement that disparages any other Party and results in damage to that Party. Further, no Party will knowingly permit or encourage anyone else, over whom they have control, to disparage any other Party.</w:t>
      </w:r>
    </w:p>
    <w:p>
      <w:pPr>
        <w:sectPr>
          <w:pgSz w:w="11900" w:h="16838" w:orient="portrait"/>
          <w:cols w:equalWidth="0" w:num="1">
            <w:col w:w="11420"/>
          </w:cols>
          <w:pgMar w:left="240" w:top="341" w:right="239" w:bottom="0" w:gutter="0" w:footer="0" w:header="0"/>
        </w:sectPr>
      </w:pPr>
    </w:p>
    <w:bookmarkStart w:id="84" w:name="page85"/>
    <w:bookmarkEnd w:id="84"/>
    <w:p>
      <w:pPr>
        <w:ind w:right="160" w:firstLine="656"/>
        <w:spacing w:after="0" w:line="293" w:lineRule="auto"/>
        <w:tabs>
          <w:tab w:leader="none" w:pos="128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Credit Facilities and any related loan documents, as amended) constitutes the entire Agreement between the Parties, and contain all of the terms, covenants, conditions, and agreements between the Parties hereto relative to the subject matter hereof. This Agreement may not be contradicted by evidence of prior or contemporaneous agreements or statements or by subsequent oral agreements between the Parties. This Agreement merges and supersedes all prior discussions, oral or written agreements and understandings of every kind and nature among and between the Parties relative to the subject matter hereof. In making the decision to enter into this Agreement, no Party has relied upon any representation, promise, assurance, covenant, omission, statement or agreement which is not expressly set forth and included in the terms hereof.</w:t>
      </w:r>
    </w:p>
    <w:p>
      <w:pPr>
        <w:spacing w:after="0" w:line="164" w:lineRule="exact"/>
        <w:rPr>
          <w:rFonts w:ascii="Arial" w:cs="Arial" w:eastAsia="Arial" w:hAnsi="Arial"/>
          <w:sz w:val="16"/>
          <w:szCs w:val="16"/>
          <w:color w:val="auto"/>
        </w:rPr>
      </w:pPr>
    </w:p>
    <w:p>
      <w:pPr>
        <w:ind w:right="20" w:firstLine="656"/>
        <w:spacing w:after="0" w:line="277"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changed, modified, supplemented, discharged or terminated by an instrument in writing, signed by all Parties. For clarity, and without limiting the foregoing, the rights of and available to each of the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Parties under this Agreement cannot be waived or released orally, and may be waived or released only by an instrument in writing, signed by the Party whose rights will be diminished or adversely affected by the waiver.</w:t>
      </w:r>
    </w:p>
    <w:p>
      <w:pPr>
        <w:spacing w:after="0" w:line="170" w:lineRule="exact"/>
        <w:rPr>
          <w:sz w:val="20"/>
          <w:szCs w:val="20"/>
          <w:color w:val="auto"/>
        </w:rPr>
      </w:pPr>
    </w:p>
    <w:p>
      <w:pPr>
        <w:ind w:right="500" w:firstLine="656"/>
        <w:spacing w:after="0" w:line="277"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without considering any choice of law rules that may point to the application of the substantive law of any other jurisdiction.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each agree to and submit themselves to the exclusive jurisdiction of Judge Dan Aaron Polster, United States District Judge of the Northern District of Ohio for any action to enforce this Agreement. The Parties further agree that, in the event of future litigation filed in another court between any of the parties hereto regarding the Credit Facilities, the matter shall be submitted to Judge Polster for non-binding mediation at the earliest opportunity. The submission of this Settlement Agreement and any mediation to Judge Polster shall not be construed as support of any claim of personal jurisdiction over any Party in Ohio.</w:t>
      </w:r>
    </w:p>
    <w:p>
      <w:pPr>
        <w:spacing w:after="0" w:line="188" w:lineRule="exact"/>
        <w:rPr>
          <w:rFonts w:ascii="Arial" w:cs="Arial" w:eastAsia="Arial" w:hAnsi="Arial"/>
          <w:sz w:val="18"/>
          <w:szCs w:val="18"/>
          <w:color w:val="auto"/>
        </w:rPr>
      </w:pPr>
    </w:p>
    <w:p>
      <w:pPr>
        <w:ind w:right="100" w:firstLine="656"/>
        <w:spacing w:after="0" w:line="257"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Each provision and term of this Agreement is intended to be and shall be deemed effective, operative, made, entered into and enforced to the fullest extent allowed by law. If, after such construction, any one or more of the provisions of this Agreement shall for any reason be held to be invalid, illegal, or unenforceable, the same shall not affect any other provisions of this Agreement, but the term at issue shall be construed as effective to the fullest extent allowed by law and as if such invalid, illegal, or unenforceable part of the provision had not been contained herein, while still effectuating the Parties’ intent to the fullest extent allowed by law.</w:t>
      </w:r>
    </w:p>
    <w:p>
      <w:pPr>
        <w:spacing w:after="0" w:line="188" w:lineRule="exact"/>
        <w:rPr>
          <w:rFonts w:ascii="Arial" w:cs="Arial" w:eastAsia="Arial" w:hAnsi="Arial"/>
          <w:sz w:val="18"/>
          <w:szCs w:val="18"/>
          <w:color w:val="auto"/>
        </w:rPr>
      </w:pPr>
    </w:p>
    <w:p>
      <w:pPr>
        <w:ind w:right="100" w:firstLine="656"/>
        <w:spacing w:after="0" w:line="255"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Costs, Expenses, and Attorneys’ Fees</w:t>
      </w:r>
      <w:r>
        <w:rPr>
          <w:rFonts w:ascii="Arial" w:cs="Arial" w:eastAsia="Arial" w:hAnsi="Arial"/>
          <w:sz w:val="18"/>
          <w:szCs w:val="18"/>
          <w:color w:val="auto"/>
        </w:rPr>
        <w:t>. The Parties hereto shall bear their own respective costs, expenses, and attorneys’ fees incurred in connection with the actions, claims and disputes that are the subject of this Agreement, and in connection with the negotiation, preparation, execution, and performance of this Agreement. In any action or litigation arising out of this Agreement or the Credit Facilities, the prevailing party shall be entitled to recover from the party not prevailing all of its reasonable costs, expenses, and attorneys’ fees incurred in that action or litigation. Nothing in this Section 15 shall be interpreted to amend or limit the payment and reimbursement requirements set forth in Section 10.3 of the Credit Facilities, to the extent set forth in the Third Amendment to First Lien Credit Agreement.</w:t>
      </w:r>
    </w:p>
    <w:p>
      <w:pPr>
        <w:spacing w:after="0" w:line="193" w:lineRule="exact"/>
        <w:rPr>
          <w:rFonts w:ascii="Arial" w:cs="Arial" w:eastAsia="Arial" w:hAnsi="Arial"/>
          <w:sz w:val="18"/>
          <w:szCs w:val="18"/>
          <w:color w:val="auto"/>
        </w:rPr>
      </w:pPr>
    </w:p>
    <w:p>
      <w:pPr>
        <w:ind w:right="200" w:firstLine="656"/>
        <w:spacing w:after="0" w:line="264"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Acceptance by any Party of any performance less than required hereby shall not be deemed to be a waiver of the rights of such party to enforce all of the terms and conditions hereof. No waiver of any such right hereunder shall be binding unless reduced to writing and signed by the Party to be charged therewith.</w:t>
      </w:r>
    </w:p>
    <w:p>
      <w:pPr>
        <w:spacing w:after="0" w:line="181" w:lineRule="exact"/>
        <w:rPr>
          <w:rFonts w:ascii="Arial" w:cs="Arial" w:eastAsia="Arial" w:hAnsi="Arial"/>
          <w:sz w:val="18"/>
          <w:szCs w:val="18"/>
          <w:color w:val="auto"/>
        </w:rPr>
      </w:pPr>
    </w:p>
    <w:p>
      <w:pPr>
        <w:ind w:right="60" w:firstLine="656"/>
        <w:spacing w:after="0" w:line="264"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with the same effect as if the signatures upon any counterpart were all upon the same instrument, and all signed counterparts shall be deemed to be an original. A faxed signature shall have the same effect as though it were signed in the original.</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have executed this Agreement as of the date first shown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wp:posOffset>
            </wp:positionV>
            <wp:extent cx="31470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KEYBANK NATIONAL ASSOCIATION,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wp:posOffset>
            </wp:positionV>
            <wp:extent cx="31470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FIELD POINT III,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wp:posOffset>
            </wp:positionV>
            <wp:extent cx="31470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-130810</wp:posOffset>
            </wp:positionV>
            <wp:extent cx="31470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bookmarkStart w:id="85" w:name="page86"/>
    <w:bookmarkEnd w:id="85"/>
    <w:p>
      <w:pPr>
        <w:ind w:left="4520"/>
        <w:spacing w:after="0"/>
        <w:rPr>
          <w:sz w:val="20"/>
          <w:szCs w:val="20"/>
          <w:color w:val="auto"/>
        </w:rPr>
      </w:pPr>
      <w:r>
        <w:rPr>
          <w:rFonts w:ascii="Arial" w:cs="Arial" w:eastAsia="Arial" w:hAnsi="Arial"/>
          <w:sz w:val="16"/>
          <w:szCs w:val="16"/>
          <w:color w:val="auto"/>
        </w:rPr>
        <w:t>SPF CDO I, LTD.,</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5715</wp:posOffset>
            </wp:positionV>
            <wp:extent cx="31470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FIRST LIEN CREDIT AGREEMENT</w:t>
      </w:r>
    </w:p>
    <w:p>
      <w:pPr>
        <w:spacing w:after="0" w:line="225"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color w:val="auto"/>
        </w:rPr>
        <w:t>This Third Amendment to First Lien Credit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October 16, 2009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KRATOS DEFENSE AND SECURITY SOLUTIONS,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referred to in the Credit Agreement (as defined below), </w:t>
      </w: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 Administrative Agent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the Lenders party 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reference is made to that certain First Lien Credit Agreement, dated as of December 31, 2007 (as amended from time to time,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w:t>
      </w:r>
      <w:r>
        <w:rPr>
          <w:rFonts w:ascii="Arial" w:cs="Arial" w:eastAsia="Arial" w:hAnsi="Arial"/>
          <w:sz w:val="16"/>
          <w:szCs w:val="16"/>
          <w:color w:val="auto"/>
        </w:rPr>
        <w:t>”; capitalized terms used herein without definition have the meanings ascribed to such terms in the Credit Agreement), among Borrower,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KeyBank National Association, as administrative agent and issuing lender thereunder, and the lenders party 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Borrower has requested that the Administrative Agent and the Lenders agree to amend the Credit Agreement to effect certain changes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hereof, the Administrative Agent and the Lenders have agreed to make such requested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Credit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covenants herein contained, the parties hereto hereby agree as follows:</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Section References</w:t>
      </w:r>
      <w:r>
        <w:rPr>
          <w:rFonts w:ascii="Arial" w:cs="Arial" w:eastAsia="Arial" w:hAnsi="Arial"/>
          <w:sz w:val="16"/>
          <w:szCs w:val="16"/>
          <w:color w:val="auto"/>
        </w:rPr>
        <w:t>. Unless otherwise expressly stated herein, all Section references herein shall refer to Sections of the Credit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Amendments to Section 1.1 of the Credit Agreement</w:t>
      </w:r>
      <w:r>
        <w:rPr>
          <w:rFonts w:ascii="Arial" w:cs="Arial" w:eastAsia="Arial" w:hAnsi="Arial"/>
          <w:sz w:val="18"/>
          <w:szCs w:val="18"/>
          <w:color w:val="auto"/>
        </w:rPr>
        <w:t>. Section 1.1 of the Credit Agreement is hereby amended by:</w:t>
      </w:r>
    </w:p>
    <w:p>
      <w:pPr>
        <w:spacing w:after="0" w:line="225" w:lineRule="exact"/>
        <w:rPr>
          <w:sz w:val="20"/>
          <w:szCs w:val="20"/>
          <w:color w:val="auto"/>
        </w:rPr>
      </w:pPr>
    </w:p>
    <w:p>
      <w:pPr>
        <w:ind w:right="460" w:firstLine="1945"/>
        <w:spacing w:after="0" w:line="308" w:lineRule="auto"/>
        <w:rPr>
          <w:sz w:val="20"/>
          <w:szCs w:val="20"/>
          <w:color w:val="auto"/>
        </w:rPr>
      </w:pPr>
      <w:r>
        <w:rPr>
          <w:rFonts w:ascii="Arial" w:cs="Arial" w:eastAsia="Arial" w:hAnsi="Arial"/>
          <w:sz w:val="17"/>
          <w:szCs w:val="17"/>
          <w:color w:val="auto"/>
        </w:rPr>
        <w:t>deleting the definitions of “Acceptance Letter”, “Incremental Trigger Date”, “Original Term Lender”, “Original Term Loan”, “Original Term Loan Commitment”, “New Lenders”, “New Note”, “New Term Loan Commitments” and “New Term Loans” in their entirety;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deleting the second paragraph of the definition of “Applicable Margin” and replacing it with the following:</w:t>
      </w:r>
    </w:p>
    <w:p>
      <w:pPr>
        <w:spacing w:after="0" w:line="225" w:lineRule="exact"/>
        <w:rPr>
          <w:sz w:val="20"/>
          <w:szCs w:val="20"/>
          <w:color w:val="auto"/>
        </w:rPr>
      </w:pPr>
    </w:p>
    <w:p>
      <w:pPr>
        <w:ind w:left="660" w:right="140" w:firstLine="630"/>
        <w:spacing w:after="0" w:line="286" w:lineRule="auto"/>
        <w:rPr>
          <w:sz w:val="20"/>
          <w:szCs w:val="20"/>
          <w:color w:val="auto"/>
        </w:rPr>
      </w:pPr>
      <w:r>
        <w:rPr>
          <w:rFonts w:ascii="Arial" w:cs="Arial" w:eastAsia="Arial" w:hAnsi="Arial"/>
          <w:sz w:val="16"/>
          <w:szCs w:val="16"/>
          <w:color w:val="auto"/>
        </w:rPr>
        <w:t xml:space="preserve">“For purposes of Borrower’s payment of interest in accordance with Section 2.6 and the Commitment Fee specified in Section 2.7(a), each Applicable Margin calculated in accordance with the most recent Compliance Certificate received by Administrative Agent shall be in effect from the date such Compliance Certificate is received by Administrative Agent to but excluding the date the next Compliance Certificate is received;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 the Applicable Margin from the Closing Date until Administrative Agent’s receipt of Borrower’s first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Certificate shall be determined as if the Total Leverage Ratio were in excess of 3.50:1.00, and (ii) if at any time Borrower has not submitted to Administrative Agent the applicable information as and when required under Section 6.2(a), the Applicable Margin shall be determined as if the Total Leverage Ratio were in excess of 3.50:1.00. For the avoidance of doubt, any reduction in the Applicable Margin pursuant to the grid above shall not be permanent and shall be in effect only for so long as the applicable Compliance Certificate demonstrates that the Total Leverage Ratio is at or below the requisite level. In the event that any financial statement delivered pursuant to Section 6.1 or Compliance Certificate delivered pursuant to Section 6.2 is shown to be inaccurate (regardless of whether this Credit Agreement or the Commitments are in effect when such inaccuracy is discovered), and such inaccuracy, if corrected would have led to a higher Applicable Margin for any period (an </w:t>
      </w:r>
      <w:r>
        <w:rPr>
          <w:rFonts w:ascii="Arial" w:cs="Arial" w:eastAsia="Arial" w:hAnsi="Arial"/>
          <w:sz w:val="16"/>
          <w:szCs w:val="16"/>
          <w:i w:val="1"/>
          <w:iCs w:val="1"/>
          <w:color w:val="auto"/>
        </w:rPr>
        <w:t>“Applicable Period”</w:t>
      </w:r>
      <w:r>
        <w:rPr>
          <w:rFonts w:ascii="Arial" w:cs="Arial" w:eastAsia="Arial" w:hAnsi="Arial"/>
          <w:sz w:val="16"/>
          <w:szCs w:val="16"/>
          <w:color w:val="auto"/>
        </w:rPr>
        <w:t>) than the Applicable Margin applied for such Applicable Period, then (i) Borrower shall immediately deliver to Administrative Agent a correct Compliance Certificate for such Applicable Period, (ii) the Applicable Margin shall be determined by reference to the corrected Compliance Certificate (but in no event shall the Lenders owe any amounts to Borrower), and (iii) Borrower shall immediately pay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Administrative Agent the additional interest owing as a result of such increased Applicable Margin for such Applicable Period, which payment shall be promptly applied by the Administrative Agent in accordance with the terms hereof. This paragraph shall not limit the rights of the Administrative Agent and the Lenders hereunder.”;</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adding the following clause (m) to the definition of “Consolidated EBITDA”, immediately after existing clause (l) thereof:</w:t>
      </w:r>
    </w:p>
    <w:p>
      <w:pPr>
        <w:spacing w:after="0" w:line="225" w:lineRule="exact"/>
        <w:rPr>
          <w:sz w:val="20"/>
          <w:szCs w:val="20"/>
          <w:color w:val="auto"/>
        </w:rPr>
      </w:pPr>
    </w:p>
    <w:p>
      <w:pPr>
        <w:ind w:left="660" w:right="20" w:firstLine="630"/>
        <w:spacing w:after="0" w:line="302" w:lineRule="auto"/>
        <w:rPr>
          <w:sz w:val="20"/>
          <w:szCs w:val="20"/>
          <w:color w:val="auto"/>
        </w:rPr>
      </w:pPr>
      <w:r>
        <w:rPr>
          <w:rFonts w:ascii="Arial" w:cs="Arial" w:eastAsia="Arial" w:hAnsi="Arial"/>
          <w:sz w:val="16"/>
          <w:szCs w:val="16"/>
          <w:color w:val="auto"/>
        </w:rPr>
        <w:t>“(m) the amount of any insurance proceeds received from and after the Third Amendment Effective Date during any period by Borrower or any of its Subsidiaries to reimburse Borrower or such Subsidiary for costs that reduced Consolidated Net Income and were recorded in such period or a prior period but in any case subsequent to January 1, 2008, to the extent such amount has not otherwise been included in the calculation of Consolidated Net Income or been added to Consolidated Net Income pursuant to any other clause of this definition;”;</w:t>
      </w:r>
    </w:p>
    <w:p>
      <w:pPr>
        <w:spacing w:after="0" w:line="15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adding the following clause (w) to the definition of “Consolidated EBITDA”, immediately before existing clause (x) thereof:</w:t>
      </w:r>
    </w:p>
    <w:p>
      <w:pPr>
        <w:spacing w:after="0" w:line="237" w:lineRule="exact"/>
        <w:rPr>
          <w:sz w:val="20"/>
          <w:szCs w:val="20"/>
          <w:color w:val="auto"/>
        </w:rPr>
      </w:pPr>
    </w:p>
    <w:p>
      <w:pPr>
        <w:ind w:left="660" w:right="20" w:firstLine="630"/>
        <w:spacing w:after="0" w:line="308" w:lineRule="auto"/>
        <w:rPr>
          <w:sz w:val="20"/>
          <w:szCs w:val="20"/>
          <w:color w:val="auto"/>
        </w:rPr>
      </w:pPr>
      <w:r>
        <w:rPr>
          <w:rFonts w:ascii="Arial" w:cs="Arial" w:eastAsia="Arial" w:hAnsi="Arial"/>
          <w:sz w:val="17"/>
          <w:szCs w:val="17"/>
          <w:color w:val="auto"/>
        </w:rPr>
        <w:t>“(w) the amount of any insurance proceeds increasing Consolidated Net Income received from and after the Third Amendment Effective Date during any period by Borrower or any of its Subsidiaries to reimburse costs recorded in periods prior to January 1, 2008;”;</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deleting the reference to “December 31, 2011” in clause (a)(x) of the definition of “Maturity Date” and replacing it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ectPr>
          <w:pgSz w:w="11900" w:h="16838" w:orient="portrait"/>
          <w:cols w:equalWidth="0" w:num="1">
            <w:col w:w="11420"/>
          </w:cols>
          <w:pgMar w:left="240" w:top="364" w:right="239" w:bottom="0" w:gutter="0" w:footer="0" w:header="0"/>
        </w:sectPr>
      </w:pPr>
    </w:p>
    <w:bookmarkStart w:id="87" w:name="page88"/>
    <w:bookmarkEnd w:id="87"/>
    <w:p>
      <w:pPr>
        <w:ind w:left="1960"/>
        <w:spacing w:after="0"/>
        <w:rPr>
          <w:sz w:val="20"/>
          <w:szCs w:val="20"/>
          <w:color w:val="auto"/>
        </w:rPr>
      </w:pPr>
      <w:r>
        <w:rPr>
          <w:rFonts w:ascii="Arial" w:cs="Arial" w:eastAsia="Arial" w:hAnsi="Arial"/>
          <w:sz w:val="18"/>
          <w:szCs w:val="18"/>
          <w:color w:val="auto"/>
        </w:rPr>
        <w:t>inserting the following defined term in alphabetical order therein:</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Transaction”</w:t>
      </w:r>
      <w:r>
        <w:rPr>
          <w:rFonts w:ascii="Arial" w:cs="Arial" w:eastAsia="Arial" w:hAnsi="Arial"/>
          <w:sz w:val="18"/>
          <w:szCs w:val="18"/>
          <w:color w:val="auto"/>
        </w:rPr>
        <w:t xml:space="preserve"> has the meaning set forth in the Third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deleting the definition of “Term Loan” in its entirety and replacing it with the following:</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w:t>
      </w:r>
      <w:r>
        <w:rPr>
          <w:rFonts w:ascii="Arial" w:cs="Arial" w:eastAsia="Arial" w:hAnsi="Arial"/>
          <w:sz w:val="18"/>
          <w:szCs w:val="18"/>
          <w:color w:val="auto"/>
        </w:rPr>
        <w:t xml:space="preserve"> means a term loan made by a Lender to Borrower pursuant to Section 2.1(b).”;</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deleting the definition of “Term Loan Commitment” in its entirety and replacing it with the following:</w:t>
      </w:r>
    </w:p>
    <w:p>
      <w:pPr>
        <w:spacing w:after="0" w:line="225" w:lineRule="exact"/>
        <w:rPr>
          <w:sz w:val="20"/>
          <w:szCs w:val="20"/>
          <w:color w:val="auto"/>
        </w:rPr>
      </w:pPr>
    </w:p>
    <w:p>
      <w:pPr>
        <w:ind w:left="660" w:right="440" w:firstLine="63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w:t>
      </w:r>
      <w:r>
        <w:rPr>
          <w:rFonts w:ascii="Arial" w:cs="Arial" w:eastAsia="Arial" w:hAnsi="Arial"/>
          <w:sz w:val="18"/>
          <w:szCs w:val="18"/>
          <w:color w:val="auto"/>
        </w:rPr>
        <w:t xml:space="preserve"> means, in the aggregate, $50,000,000 and, with respect to any Term Lender, such Term Lender’s Pro Rata Share of such amount as set forth on Schedule 2.1 attached hereto.”;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inserting the following defined terms in alphabetical order therein:</w:t>
      </w:r>
    </w:p>
    <w:p>
      <w:pPr>
        <w:spacing w:after="0" w:line="225" w:lineRule="exact"/>
        <w:rPr>
          <w:sz w:val="20"/>
          <w:szCs w:val="20"/>
          <w:color w:val="auto"/>
        </w:rPr>
      </w:pPr>
    </w:p>
    <w:p>
      <w:pPr>
        <w:ind w:left="660" w:right="260" w:firstLine="63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w:t>
      </w:r>
      <w:r>
        <w:rPr>
          <w:rFonts w:ascii="Arial" w:cs="Arial" w:eastAsia="Arial" w:hAnsi="Arial"/>
          <w:sz w:val="18"/>
          <w:szCs w:val="18"/>
          <w:color w:val="auto"/>
        </w:rPr>
        <w:t xml:space="preserve"> means that certain Third Amendment to First Lien Credit Agreement, dated as of October 16, 2009, by and among Borrower, the Guarantors, the Administrative Agent and the Lenders party thereto.</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“Third Amendment Effective Date” </w:t>
      </w:r>
      <w:r>
        <w:rPr>
          <w:rFonts w:ascii="Arial" w:cs="Arial" w:eastAsia="Arial" w:hAnsi="Arial"/>
          <w:sz w:val="18"/>
          <w:szCs w:val="18"/>
          <w:color w:val="auto"/>
        </w:rPr>
        <w:t>means the “Amendment Effective Date” as defined in the Third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Amendment to Section 2.4(a) of the Credit Agreement</w:t>
      </w:r>
      <w:r>
        <w:rPr>
          <w:rFonts w:ascii="Arial" w:cs="Arial" w:eastAsia="Arial" w:hAnsi="Arial"/>
          <w:sz w:val="18"/>
          <w:szCs w:val="18"/>
          <w:color w:val="auto"/>
        </w:rPr>
        <w:t>. Section 2.4(a) of the Credit Agreement is hereby amended by: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deleting the text of subsection (ii) thereof in its entirety and replacing it with the following:</w:t>
      </w:r>
    </w:p>
    <w:p>
      <w:pPr>
        <w:spacing w:after="0" w:line="221" w:lineRule="exact"/>
        <w:rPr>
          <w:sz w:val="20"/>
          <w:szCs w:val="20"/>
          <w:color w:val="auto"/>
        </w:rPr>
      </w:pPr>
    </w:p>
    <w:p>
      <w:pPr>
        <w:ind w:left="660" w:firstLine="63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Except as provided in Section 6.20 with respect to the refinancing of Term Loans or in connection with the PIPE Transaction described in the Third Amendment, Borrower may not voluntarily prepay Term Loans on or prior to the two (2) year anniversary of the Closing Date (the </w:t>
      </w:r>
      <w:r>
        <w:rPr>
          <w:rFonts w:ascii="Arial" w:cs="Arial" w:eastAsia="Arial" w:hAnsi="Arial"/>
          <w:sz w:val="18"/>
          <w:szCs w:val="18"/>
          <w:i w:val="1"/>
          <w:iCs w:val="1"/>
          <w:color w:val="auto"/>
        </w:rPr>
        <w:t>“No-Call Expiry Date”</w:t>
      </w:r>
      <w:r>
        <w:rPr>
          <w:rFonts w:ascii="Arial" w:cs="Arial" w:eastAsia="Arial" w:hAnsi="Arial"/>
          <w:sz w:val="18"/>
          <w:szCs w:val="18"/>
          <w:color w:val="auto"/>
        </w:rPr>
        <w:t xml:space="preserve">). After the No-Call Expiry Date, upon Requisite Notice to Administrative Agent not later than the Requisite Time therefor, Borrower may at any time and from time to time voluntarily prepay Term Loans in part in the Minimum Amount therefor or in full,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respect to any voluntary prepayment of the Term Loans (other than a voluntary prepayment pursuant to Section 6.20 or pursuant to the PIPE Transaction described in the Third Amendment)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 xml:space="preserve">occurring at anytime after the No-Call Expiry Date but on or prior to the five (5) year anniversary of the Closing Date (the </w:t>
      </w:r>
      <w:r>
        <w:rPr>
          <w:rFonts w:ascii="Arial" w:cs="Arial" w:eastAsia="Arial" w:hAnsi="Arial"/>
          <w:sz w:val="16"/>
          <w:szCs w:val="16"/>
          <w:i w:val="1"/>
          <w:iCs w:val="1"/>
          <w:color w:val="auto"/>
        </w:rPr>
        <w:t>“Call Protection Expiry</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Borrower shall pay to the Term Lenders the applicable Prepayment Premium. Administrative Agent will promptly notify each Term Lender</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voluntary prepayment and of such Lender’s Pro Rata Share of such prepayment. Any prepayment of a Term Loan shall be accompanied by all accrued interest thereon and, in the case of any Term Loan that is an Offshore Rate Loan, the amounts set forth in Section 3.5.”;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deleting the second sentence of subsection (iii) thereof in its entirety and replacing it with the following:</w:t>
      </w:r>
    </w:p>
    <w:p>
      <w:pPr>
        <w:spacing w:after="0" w:line="225" w:lineRule="exact"/>
        <w:rPr>
          <w:sz w:val="20"/>
          <w:szCs w:val="20"/>
          <w:color w:val="auto"/>
        </w:rPr>
      </w:pPr>
    </w:p>
    <w:p>
      <w:pPr>
        <w:ind w:left="660" w:right="120" w:firstLine="630"/>
        <w:spacing w:after="0" w:line="264" w:lineRule="auto"/>
        <w:rPr>
          <w:sz w:val="20"/>
          <w:szCs w:val="20"/>
          <w:color w:val="auto"/>
        </w:rPr>
      </w:pPr>
      <w:r>
        <w:rPr>
          <w:rFonts w:ascii="Arial" w:cs="Arial" w:eastAsia="Arial" w:hAnsi="Arial"/>
          <w:sz w:val="18"/>
          <w:szCs w:val="18"/>
          <w:color w:val="auto"/>
        </w:rPr>
        <w:t>“Any voluntary prepayment of any Term Loans pursuant to Section 2.4(a)(ii) shall be applied to repay such Term Loans on a pro rata basis (in accordance with the outstanding principal amounts thereof) and shall be further applied on a pro rata basis to reduce the remaining scheduled Installments of principal of such Term Loans.”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Global Amendments to Credit Agreement</w:t>
      </w:r>
      <w:r>
        <w:rPr>
          <w:rFonts w:ascii="Arial" w:cs="Arial" w:eastAsia="Arial" w:hAnsi="Arial"/>
          <w:sz w:val="18"/>
          <w:szCs w:val="18"/>
          <w:color w:val="auto"/>
        </w:rPr>
        <w:t>. The Credit Agreement is hereby amended by: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deleting each reference to “Original Term Loan” and “Original Term Loans” therein and replacing it with “Term Loan” and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respectively; and</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deleting each reference to “Original Term Loan Commitment” therein and replacing it with “Term Loan Commitment”.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u w:val="single" w:color="auto"/>
          <w:color w:val="auto"/>
        </w:rPr>
        <w:t>Amendment to Section 2.12 of the Credit Agreement</w:t>
      </w:r>
      <w:r>
        <w:rPr>
          <w:rFonts w:ascii="Arial" w:cs="Arial" w:eastAsia="Arial" w:hAnsi="Arial"/>
          <w:sz w:val="18"/>
          <w:szCs w:val="18"/>
          <w:color w:val="auto"/>
        </w:rPr>
        <w:t>. Section 2.12 of the Credit Agreement is hereby amended by deleting the text thereof in its entirety and replacing it with “[Reserved]”.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Amendment to Section VI of the Credit Agreement</w:t>
      </w:r>
      <w:r>
        <w:rPr>
          <w:rFonts w:ascii="Arial" w:cs="Arial" w:eastAsia="Arial" w:hAnsi="Arial"/>
          <w:sz w:val="17"/>
          <w:szCs w:val="17"/>
          <w:color w:val="auto"/>
        </w:rPr>
        <w:t>. Section VI of the Credit Agreement is hereby amended by adding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6.20 immediately after the conclusion of Section 6.19:</w:t>
      </w:r>
    </w:p>
    <w:p>
      <w:pPr>
        <w:spacing w:after="0" w:line="207" w:lineRule="exact"/>
        <w:rPr>
          <w:sz w:val="20"/>
          <w:szCs w:val="20"/>
          <w:color w:val="auto"/>
        </w:rPr>
      </w:pPr>
    </w:p>
    <w:p>
      <w:pPr>
        <w:ind w:left="660" w:right="160" w:firstLine="63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OF TERM LOANS</w:t>
      </w:r>
      <w:r>
        <w:rPr>
          <w:rFonts w:ascii="Arial" w:cs="Arial" w:eastAsia="Arial" w:hAnsi="Arial"/>
          <w:sz w:val="16"/>
          <w:szCs w:val="16"/>
          <w:color w:val="auto"/>
        </w:rPr>
        <w:t xml:space="preserve">. Borrower shall use its best efforts to refinance and repay in full the Term Loans that are outstanding on the Third Amendment Effective Date no later than March 12, 2010. Any prepayment pursuant to this Section 6.20 shall be made in accordance with Section 2.4(a)(ii) (to the extent applicable to prepayments pursuant to this Section 6.20) and applied as set forth in Section 2.4(a) (iii);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in this Agreement to the contrary, so long as the refinancing contemplated by this</w:t>
      </w:r>
    </w:p>
    <w:p>
      <w:pPr>
        <w:spacing w:after="0" w:line="3"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Section 6.20 results in a full prepayment of the Term Loans, no Prepayment Premium and no Make Whole Amount as set forth in Section 2.4(d) will be due or payable with respect to such prepayment. For the avoidance of doubt, any partial prepayment of Term Loans (except in connection with the PIPE Transaction described in the Third Amendment) will be subject to the Prepayment Premium contemplated by Section 2.4(a)(ii). The Term Lenders will not be permitted to refuse such repayment in full.”</w:t>
      </w:r>
    </w:p>
    <w:p>
      <w:pPr>
        <w:sectPr>
          <w:pgSz w:w="11900" w:h="16838" w:orient="portrait"/>
          <w:cols w:equalWidth="0" w:num="1">
            <w:col w:w="11400"/>
          </w:cols>
          <w:pgMar w:left="240" w:top="125" w:right="259" w:bottom="0" w:gutter="0" w:footer="0" w:header="0"/>
        </w:sectPr>
      </w:pPr>
    </w:p>
    <w:bookmarkStart w:id="88" w:name="page89"/>
    <w:bookmarkEnd w:id="88"/>
    <w:p>
      <w:pPr>
        <w:ind w:right="500" w:firstLine="1297"/>
        <w:spacing w:after="0" w:line="277" w:lineRule="auto"/>
        <w:rPr>
          <w:sz w:val="20"/>
          <w:szCs w:val="20"/>
          <w:color w:val="auto"/>
        </w:rPr>
      </w:pPr>
      <w:r>
        <w:rPr>
          <w:rFonts w:ascii="Arial" w:cs="Arial" w:eastAsia="Arial" w:hAnsi="Arial"/>
          <w:sz w:val="18"/>
          <w:szCs w:val="18"/>
          <w:u w:val="single" w:color="auto"/>
          <w:color w:val="auto"/>
        </w:rPr>
        <w:t>Amendment to Section 7.6(f) of the Credit Agreement</w:t>
      </w:r>
      <w:r>
        <w:rPr>
          <w:rFonts w:ascii="Arial" w:cs="Arial" w:eastAsia="Arial" w:hAnsi="Arial"/>
          <w:sz w:val="18"/>
          <w:szCs w:val="18"/>
          <w:color w:val="auto"/>
        </w:rPr>
        <w:t>. Section 7.6(f) of the Credit Agreement is hereby amended by deleting the text thereof in its entirety and replacing it with “[Reserved]”.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Amendment to Section 7.12(a) of the Credit Agreement</w:t>
      </w:r>
      <w:r>
        <w:rPr>
          <w:rFonts w:ascii="Arial" w:cs="Arial" w:eastAsia="Arial" w:hAnsi="Arial"/>
          <w:sz w:val="17"/>
          <w:szCs w:val="17"/>
          <w:color w:val="auto"/>
        </w:rPr>
        <w:t>. Section 7.12(a) of the Credit Agreement is hereby amended by deleting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proviso thereto.</w:t>
      </w:r>
    </w:p>
    <w:p>
      <w:pPr>
        <w:spacing w:after="0" w:line="21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u w:val="single" w:color="auto"/>
          <w:color w:val="auto"/>
        </w:rPr>
        <w:t>Amendment to Schedule 7.12(c) of the Credit Agreement</w:t>
      </w:r>
      <w:r>
        <w:rPr>
          <w:rFonts w:ascii="Arial" w:cs="Arial" w:eastAsia="Arial" w:hAnsi="Arial"/>
          <w:sz w:val="18"/>
          <w:szCs w:val="18"/>
          <w:color w:val="auto"/>
        </w:rPr>
        <w:t>. Schedule 7.12(c) of the Credit Agreement is hereby amended by deleting the text thereof in its entirety and inserting the following in lieu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380" w:type="dxa"/>
            <w:vAlign w:val="bottom"/>
          </w:tcPr>
          <w:p>
            <w:pPr>
              <w:jc w:val="center"/>
              <w:ind w:left="67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r>
      <w:tr>
        <w:trPr>
          <w:trHeight w:val="780"/>
        </w:trPr>
        <w:tc>
          <w:tcPr>
            <w:tcW w:w="1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820" w:type="dxa"/>
            <w:vAlign w:val="bottom"/>
            <w:gridSpan w:val="4"/>
          </w:tcPr>
          <w:p>
            <w:pPr>
              <w:jc w:val="center"/>
              <w:ind w:right="3680"/>
              <w:spacing w:after="0"/>
              <w:rPr>
                <w:sz w:val="20"/>
                <w:szCs w:val="20"/>
                <w:color w:val="auto"/>
              </w:rPr>
            </w:pPr>
            <w:r>
              <w:rPr>
                <w:rFonts w:ascii="Arial" w:cs="Arial" w:eastAsia="Arial" w:hAnsi="Arial"/>
                <w:sz w:val="18"/>
                <w:szCs w:val="18"/>
                <w:color w:val="auto"/>
                <w:w w:val="94"/>
              </w:rPr>
              <w:t>SCHEDULE 7.12(c)</w:t>
            </w:r>
          </w:p>
        </w:tc>
      </w:tr>
      <w:tr>
        <w:trPr>
          <w:trHeight w:val="432"/>
        </w:trPr>
        <w:tc>
          <w:tcPr>
            <w:tcW w:w="1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820" w:type="dxa"/>
            <w:vAlign w:val="bottom"/>
            <w:gridSpan w:val="4"/>
          </w:tcPr>
          <w:p>
            <w:pPr>
              <w:jc w:val="center"/>
              <w:ind w:right="3660"/>
              <w:spacing w:after="0"/>
              <w:rPr>
                <w:sz w:val="20"/>
                <w:szCs w:val="20"/>
                <w:color w:val="auto"/>
              </w:rPr>
            </w:pPr>
            <w:r>
              <w:rPr>
                <w:rFonts w:ascii="Arial" w:cs="Arial" w:eastAsia="Arial" w:hAnsi="Arial"/>
                <w:sz w:val="18"/>
                <w:szCs w:val="18"/>
                <w:color w:val="auto"/>
              </w:rPr>
              <w:t>MINIMUM LIQUIDITY RATIO</w:t>
            </w:r>
          </w:p>
        </w:tc>
      </w:tr>
      <w:tr>
        <w:trPr>
          <w:trHeight w:val="342"/>
        </w:trPr>
        <w:tc>
          <w:tcPr>
            <w:tcW w:w="13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4"/>
                <w:szCs w:val="14"/>
                <w:b w:val="1"/>
                <w:bCs w:val="1"/>
                <w:color w:val="auto"/>
              </w:rPr>
              <w:t>Fiscal Quarter</w:t>
            </w: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99"/>
              </w:rPr>
              <w:t>Liquidity</w:t>
            </w:r>
          </w:p>
        </w:tc>
      </w:tr>
      <w:tr>
        <w:trPr>
          <w:trHeight w:val="171"/>
        </w:trPr>
        <w:tc>
          <w:tcPr>
            <w:tcW w:w="130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b w:val="1"/>
                <w:bCs w:val="1"/>
                <w:color w:val="auto"/>
              </w:rPr>
              <w:t>Ending</w:t>
            </w: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97"/>
              </w:rPr>
              <w:t>Ratio</w:t>
            </w:r>
          </w:p>
        </w:tc>
      </w:tr>
      <w:tr>
        <w:trPr>
          <w:trHeight w:val="210"/>
        </w:trPr>
        <w:tc>
          <w:tcPr>
            <w:tcW w:w="130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ind w:right="22"/>
              <w:spacing w:after="0"/>
              <w:rPr>
                <w:sz w:val="20"/>
                <w:szCs w:val="20"/>
                <w:color w:val="auto"/>
              </w:rPr>
            </w:pPr>
            <w:r>
              <w:rPr>
                <w:rFonts w:ascii="Arial" w:cs="Arial" w:eastAsia="Arial" w:hAnsi="Arial"/>
                <w:sz w:val="18"/>
                <w:szCs w:val="18"/>
                <w:color w:val="auto"/>
                <w:w w:val="90"/>
              </w:rPr>
              <w:t>1.27:1.00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March 31, 2008</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1.33:1.00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1.31:1.00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September 30, 2008</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1.31:1.00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1.42:1.00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March 31, 2009</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1.40:1.00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1.37:1.00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September 30, 2009</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1.35:1.00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1.33:1.00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March 31, 2010</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1.21:1.00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1.18:1.00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September 30, 2010</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1.18:1.00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1.17:1.00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March 31, 2011</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1.17:1.00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1.17:1.00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September 30, 2011</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1.17:1.00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1.04:1.00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March 31, 2012</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1.09:1.00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1.16:1.00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September 30, 2012</w:t>
            </w:r>
          </w:p>
        </w:tc>
        <w:tc>
          <w:tcPr>
            <w:tcW w:w="526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1.24:1.00</w:t>
            </w:r>
          </w:p>
        </w:tc>
        <w:tc>
          <w:tcPr>
            <w:tcW w:w="25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5260" w:type="dxa"/>
            <w:vAlign w:val="bottom"/>
            <w:gridSpan w:val="3"/>
            <w:shd w:val="clear" w:color="auto" w:fill="CCEEFF"/>
          </w:tcPr>
          <w:p>
            <w:pPr>
              <w:jc w:val="center"/>
              <w:ind w:left="3410"/>
              <w:spacing w:after="0"/>
              <w:rPr>
                <w:sz w:val="20"/>
                <w:szCs w:val="20"/>
                <w:color w:val="auto"/>
              </w:rPr>
            </w:pPr>
            <w:r>
              <w:rPr>
                <w:rFonts w:ascii="Arial" w:cs="Arial" w:eastAsia="Arial" w:hAnsi="Arial"/>
                <w:sz w:val="18"/>
                <w:szCs w:val="18"/>
                <w:color w:val="auto"/>
                <w:w w:val="90"/>
              </w:rPr>
              <w:t>1.42:1.00</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-4015105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-4015105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u w:val="single" w:color="auto"/>
          <w:color w:val="auto"/>
        </w:rPr>
        <w:t>Conflict with First Amendment</w:t>
      </w:r>
      <w:r>
        <w:rPr>
          <w:rFonts w:ascii="Arial" w:cs="Arial" w:eastAsia="Arial" w:hAnsi="Arial"/>
          <w:sz w:val="18"/>
          <w:szCs w:val="18"/>
          <w:color w:val="auto"/>
        </w:rPr>
        <w:t>. In the event of any conflict between the Credit Agreement, as amended hereby, and Sections 3 and 5 of that certain Amendment and Waiver of First Lien Credit Agreement, dated as of March 27, 2008, by and among Borrower, the Guarantors, the Administrative Agent and the Lenders party thereto, the Credit Agreement, as amended hereby, shall control.</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Conditions Precedent</w:t>
      </w:r>
      <w:r>
        <w:rPr>
          <w:rFonts w:ascii="Arial" w:cs="Arial" w:eastAsia="Arial" w:hAnsi="Arial"/>
          <w:sz w:val="17"/>
          <w:szCs w:val="17"/>
          <w:color w:val="auto"/>
        </w:rPr>
        <w:t>. The effectiveness of this Amendment is subject to the satisfaction of each of the following conditions precedent:</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Lenders shall have received all of the following, in form and substance satisfactory to the Lenders:</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Amendment, duly executed and delivered by each Credit Party, the Administrative Agent and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660" w:right="400" w:firstLine="2269"/>
        <w:spacing w:after="0" w:line="264" w:lineRule="auto"/>
        <w:rPr>
          <w:sz w:val="20"/>
          <w:szCs w:val="20"/>
          <w:color w:val="auto"/>
        </w:rPr>
      </w:pPr>
      <w:r>
        <w:rPr>
          <w:rFonts w:ascii="Arial" w:cs="Arial" w:eastAsia="Arial" w:hAnsi="Arial"/>
          <w:sz w:val="18"/>
          <w:szCs w:val="18"/>
          <w:u w:val="single" w:color="auto"/>
          <w:color w:val="auto"/>
        </w:rPr>
        <w:t>Settlement Agreement and Releases</w:t>
      </w:r>
      <w:r>
        <w:rPr>
          <w:rFonts w:ascii="Arial" w:cs="Arial" w:eastAsia="Arial" w:hAnsi="Arial"/>
          <w:sz w:val="18"/>
          <w:szCs w:val="18"/>
          <w:color w:val="auto"/>
        </w:rPr>
        <w:t xml:space="preserve">. A copy of the Settlement Agreement and General Release of Claims,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evidence that such Settlement Agreement and General Release of Claims has been duly executed and delivered by Borrower, KeyBank National Association, Field Point III, Ltd. and SPF CDO I, Ltd.;</w:t>
      </w:r>
    </w:p>
    <w:p>
      <w:pPr>
        <w:spacing w:after="0" w:line="181" w:lineRule="exact"/>
        <w:rPr>
          <w:sz w:val="20"/>
          <w:szCs w:val="20"/>
          <w:color w:val="auto"/>
        </w:rPr>
      </w:pPr>
    </w:p>
    <w:p>
      <w:pPr>
        <w:ind w:left="660" w:right="180" w:firstLine="2269"/>
        <w:spacing w:after="0" w:line="286" w:lineRule="auto"/>
        <w:rPr>
          <w:sz w:val="20"/>
          <w:szCs w:val="20"/>
          <w:color w:val="auto"/>
        </w:rPr>
      </w:pPr>
      <w:r>
        <w:rPr>
          <w:rFonts w:ascii="Arial" w:cs="Arial" w:eastAsia="Arial" w:hAnsi="Arial"/>
          <w:sz w:val="17"/>
          <w:szCs w:val="17"/>
          <w:u w:val="single" w:color="auto"/>
          <w:color w:val="auto"/>
        </w:rPr>
        <w:t>Second Lien Amendment</w:t>
      </w:r>
      <w:r>
        <w:rPr>
          <w:rFonts w:ascii="Arial" w:cs="Arial" w:eastAsia="Arial" w:hAnsi="Arial"/>
          <w:sz w:val="17"/>
          <w:szCs w:val="17"/>
          <w:color w:val="auto"/>
        </w:rPr>
        <w:t xml:space="preserve">. A copy of the Third Amendment to Second Lien Credit Agreement,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evidence that such Third Amendment to Second Lien Credit Agreement has been duly executed and delivered by each Credit Party, the Second Lien Administrative Agent and the lenders party to the Second Lien Credit Agreement;</w:t>
      </w:r>
    </w:p>
    <w:p>
      <w:pPr>
        <w:spacing w:after="0" w:line="166" w:lineRule="exact"/>
        <w:rPr>
          <w:sz w:val="20"/>
          <w:szCs w:val="20"/>
          <w:color w:val="auto"/>
        </w:rPr>
      </w:pPr>
    </w:p>
    <w:p>
      <w:pPr>
        <w:ind w:left="660" w:right="80" w:firstLine="2269"/>
        <w:spacing w:after="0" w:line="257" w:lineRule="auto"/>
        <w:rPr>
          <w:sz w:val="20"/>
          <w:szCs w:val="20"/>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costs, expenses and other amounts payable on the Amendment Effective Date referred to in Section 15 hereof, which, in the case of the costs, expenses and other amounts payable pursuant to Section 15(b) hereof, shall be those costs, expenses and other amounts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amounts specified on Exhibit C relating to reimbursement for the costs, expenses and other amounts paid to Alvarez &amp; Marsal Transaction Advisory Group LLC (“</w:t>
      </w:r>
      <w:r>
        <w:rPr>
          <w:rFonts w:ascii="Arial" w:cs="Arial" w:eastAsia="Arial" w:hAnsi="Arial"/>
          <w:sz w:val="18"/>
          <w:szCs w:val="18"/>
          <w:u w:val="single" w:color="auto"/>
          <w:color w:val="auto"/>
        </w:rPr>
        <w:t>Alvarez</w:t>
      </w:r>
      <w:r>
        <w:rPr>
          <w:rFonts w:ascii="Arial" w:cs="Arial" w:eastAsia="Arial" w:hAnsi="Arial"/>
          <w:sz w:val="18"/>
          <w:szCs w:val="18"/>
          <w:color w:val="auto"/>
        </w:rPr>
        <w:t>”) shall only be payable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Borrower’s receipt of the financial due diligence report prepared by Alvarez ; and</w:t>
      </w:r>
    </w:p>
    <w:p>
      <w:pPr>
        <w:sectPr>
          <w:pgSz w:w="11900" w:h="16838" w:orient="portrait"/>
          <w:cols w:equalWidth="0" w:num="1">
            <w:col w:w="11460"/>
          </w:cols>
          <w:pgMar w:left="240" w:top="341" w:right="199" w:bottom="0" w:gutter="0" w:footer="0" w:header="0"/>
        </w:sectPr>
      </w:pPr>
    </w:p>
    <w:bookmarkStart w:id="89" w:name="page90"/>
    <w:bookmarkEnd w:id="89"/>
    <w:p>
      <w:pPr>
        <w:ind w:left="660" w:right="140" w:firstLine="2269"/>
        <w:spacing w:after="0" w:line="286" w:lineRule="auto"/>
        <w:rPr>
          <w:sz w:val="20"/>
          <w:szCs w:val="20"/>
          <w:color w:val="auto"/>
        </w:rPr>
      </w:pPr>
      <w:r>
        <w:rPr>
          <w:rFonts w:ascii="Arial" w:cs="Arial" w:eastAsia="Arial" w:hAnsi="Arial"/>
          <w:sz w:val="17"/>
          <w:szCs w:val="17"/>
          <w:u w:val="single" w:color="auto"/>
          <w:color w:val="auto"/>
        </w:rPr>
        <w:t>Additional Information</w:t>
      </w:r>
      <w:r>
        <w:rPr>
          <w:rFonts w:ascii="Arial" w:cs="Arial" w:eastAsia="Arial" w:hAnsi="Arial"/>
          <w:sz w:val="17"/>
          <w:szCs w:val="17"/>
          <w:color w:val="auto"/>
        </w:rPr>
        <w:t>. Such additional documents, instruments and information as Administrative Agent may reasonably request to effect the transactions contemplated hereby, including, without limitation, evidence of corporate authorization and an opinion of Borrower’s outside counsel as to typical corporate matters such as authorization, lack of conflicts and enforceability.</w:t>
      </w:r>
    </w:p>
    <w:p>
      <w:pPr>
        <w:spacing w:after="0" w:line="162" w:lineRule="exact"/>
        <w:rPr>
          <w:sz w:val="20"/>
          <w:szCs w:val="20"/>
          <w:color w:val="auto"/>
        </w:rPr>
      </w:pPr>
    </w:p>
    <w:p>
      <w:pPr>
        <w:ind w:right="20" w:firstLine="1945"/>
        <w:spacing w:after="0" w:line="298" w:lineRule="auto"/>
        <w:rPr>
          <w:sz w:val="20"/>
          <w:szCs w:val="20"/>
          <w:color w:val="auto"/>
        </w:rPr>
      </w:pPr>
      <w:r>
        <w:rPr>
          <w:rFonts w:ascii="Arial" w:cs="Arial" w:eastAsia="Arial" w:hAnsi="Arial"/>
          <w:sz w:val="16"/>
          <w:szCs w:val="16"/>
          <w:u w:val="single" w:color="auto"/>
          <w:color w:val="auto"/>
        </w:rPr>
        <w:t>PIPE Transaction</w:t>
      </w:r>
      <w:r>
        <w:rPr>
          <w:rFonts w:ascii="Arial" w:cs="Arial" w:eastAsia="Arial" w:hAnsi="Arial"/>
          <w:sz w:val="16"/>
          <w:szCs w:val="16"/>
          <w:color w:val="auto"/>
        </w:rPr>
        <w:t>. Borrower shall have consummated a PIPE transaction (the “</w:t>
      </w:r>
      <w:r>
        <w:rPr>
          <w:rFonts w:ascii="Arial" w:cs="Arial" w:eastAsia="Arial" w:hAnsi="Arial"/>
          <w:sz w:val="16"/>
          <w:szCs w:val="16"/>
          <w:b w:val="1"/>
          <w:bCs w:val="1"/>
          <w:color w:val="auto"/>
        </w:rPr>
        <w:t>PIPE Transaction</w:t>
      </w:r>
      <w:r>
        <w:rPr>
          <w:rFonts w:ascii="Arial" w:cs="Arial" w:eastAsia="Arial" w:hAnsi="Arial"/>
          <w:sz w:val="16"/>
          <w:szCs w:val="16"/>
          <w:color w:val="auto"/>
        </w:rPr>
        <w:t>”) that shall have yielded Net Cash Equity Proceeds of at least $17,000,000. The Net Cash Equity Proceeds from such PIPE Transaction shall have been applied to prepayment of the Loans as set forth in Sections 2.4(b)(iii) and 2.4(c) of the Credit Agreement without regard to the $50,000,000 threshold set forth in said Section 2.4(b)(iii). Notwithstanding anything in the Credit Agreement to the contrary (including, without limitation, Section 2.4(a)(ii) and Section 6.20, each as amended or inserted hereby), no Make-Whole Amount or Prepayment Premium will be due or payable with respect to the prepayment contemplated by this Section 11(b).</w:t>
      </w:r>
    </w:p>
    <w:p>
      <w:pPr>
        <w:spacing w:after="0" w:line="158"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On the Amendment Effective Date, the representations and warranties contained herein and in the other Loan Documents shall be true and correct in all material respects on and as of the Amendment Effective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40" w:firstLine="1945"/>
        <w:spacing w:after="0" w:line="312" w:lineRule="auto"/>
        <w:rPr>
          <w:sz w:val="20"/>
          <w:szCs w:val="20"/>
          <w:color w:val="auto"/>
        </w:rPr>
      </w:pPr>
      <w:r>
        <w:rPr>
          <w:rFonts w:ascii="Arial" w:cs="Arial" w:eastAsia="Arial" w:hAnsi="Arial"/>
          <w:sz w:val="16"/>
          <w:szCs w:val="16"/>
          <w:u w:val="single" w:color="auto"/>
          <w:color w:val="auto"/>
        </w:rPr>
        <w:t>Completion of Proceedings</w:t>
      </w:r>
      <w:r>
        <w:rPr>
          <w:rFonts w:ascii="Arial" w:cs="Arial" w:eastAsia="Arial" w:hAnsi="Arial"/>
          <w:sz w:val="16"/>
          <w:szCs w:val="16"/>
          <w:color w:val="auto"/>
        </w:rPr>
        <w:t>. All partnership, corporate and other proceedings taken or to be taken in connection with the transactions contemplated hereby shall be satisfactory in form and substance to Administrative Agent and its counsel, and Administrative Agent and such counsel shall have received all such counterpart originals or certified copies of such documents as Administrative Agent may reasonably request.</w:t>
      </w:r>
    </w:p>
    <w:p>
      <w:pPr>
        <w:spacing w:after="0" w:line="147" w:lineRule="exact"/>
        <w:rPr>
          <w:sz w:val="20"/>
          <w:szCs w:val="20"/>
          <w:color w:val="auto"/>
        </w:rPr>
      </w:pPr>
    </w:p>
    <w:p>
      <w:pPr>
        <w:ind w:right="580" w:firstLine="1945"/>
        <w:spacing w:after="0" w:line="277" w:lineRule="auto"/>
        <w:rPr>
          <w:sz w:val="20"/>
          <w:szCs w:val="20"/>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On the Amendment Effective Date after giving effect to this Amendment, no event shall have occurred and be continuing that would constitute a Default or an Event of Default.</w:t>
      </w:r>
    </w:p>
    <w:p>
      <w:pPr>
        <w:spacing w:after="0" w:line="170"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u w:val="single" w:color="auto"/>
          <w:color w:val="auto"/>
        </w:rPr>
        <w:t>Representations and Warranties; Reaffirmation of Grant</w:t>
      </w:r>
      <w:r>
        <w:rPr>
          <w:rFonts w:ascii="Arial" w:cs="Arial" w:eastAsia="Arial" w:hAnsi="Arial"/>
          <w:sz w:val="16"/>
          <w:szCs w:val="16"/>
          <w:color w:val="auto"/>
        </w:rPr>
        <w:t>. Each Credit Party hereby represents and warrants to the Administrative Agent and the Lenders that, as of the Amendment Effective Date and after giving effect to this Amendment, (a) all representations and warranties of the Credit Parties set forth in the Credit Agreement and in any other Loan Document are true and correct in all material respects on and as of the Amendment Effective Date to the same extent as though made on and as of such date, except to the extent such representations and warranties specifically relate to an earlier date, in which case such representations and warranties shall have been true and correct in all material respects on and as of such earlier date, (b) no Default or Event of Default has occurred and is continuing, (c) the Credit Agreement (as amended by this Amendment) and all other Loan Documents are and remain legally valid, binding obligations of the Credit Parties, enforceable against each such Credit Party in accordance with their respective terms, except as may be limited by bankruptcy, insolvency, reorganization, moratorium or similar laws relating to or limiting creditors’ rights generally or by equitable principles relating to enforceability and (d) each of the Security Documents to which such Credit Party is a party and all of the Collateral described therein do and shall continue to secure the payment of all Obligations as set forth in such respective Security Documents. Each Credit Party that is a party to the Pledge and Security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or any of the other Security Documents hereby reaffirms its grant of a security interest in the Collateral to the Administrative Agent for the ratable benefit of the Secured Parties (as defined in the Pledge and Security Agreement), as collateral security for the prompt and complete payment and performance when due of the Obligations.</w:t>
      </w:r>
    </w:p>
    <w:p>
      <w:pPr>
        <w:spacing w:after="0" w:line="18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in this Amendment or any other Loan Document shall survive the execution and delivery of this Amendment, and no investigation by the Administrative Agent or the Lenders shall affect the representations and warranties or the right of the Administrative Agent and the Lenders to rely upon them. If any representation or warranty made in this Amendment is false in any material respect as of the date made or deemed made, then such shall constitute an Event of Default under the Credit Agreement.</w:t>
      </w:r>
    </w:p>
    <w:p>
      <w:pPr>
        <w:spacing w:after="0" w:line="154"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u w:val="single" w:color="auto"/>
          <w:color w:val="auto"/>
        </w:rPr>
        <w:t>Reference to Agreement</w:t>
      </w:r>
      <w:r>
        <w:rPr>
          <w:rFonts w:ascii="Arial" w:cs="Arial" w:eastAsia="Arial" w:hAnsi="Arial"/>
          <w:sz w:val="17"/>
          <w:szCs w:val="17"/>
          <w:color w:val="auto"/>
        </w:rPr>
        <w:t>. Each of the Loan Documents, including the Credit Agreement, and any and all other agreements, documents or instruments now or hereafter executed and/or delivered pursuant to the terms hereof or pursuant to the terms of the Credit Agreement as amended hereby, are hereby amended so that any reference in such Loan Documents to the Credit Agreement, whether direct or indirect, shall mean a reference to the Credit Agreement as amended hereby. This Amendment shall constitute a Loan Document under the Credit Agreement.</w:t>
      </w:r>
    </w:p>
    <w:p>
      <w:pPr>
        <w:spacing w:after="0" w:line="171"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u w:val="single" w:color="auto"/>
          <w:color w:val="auto"/>
        </w:rPr>
        <w:t>Costs and Expenses of the Lenders</w:t>
      </w:r>
      <w:r>
        <w:rPr>
          <w:rFonts w:ascii="Arial" w:cs="Arial" w:eastAsia="Arial" w:hAnsi="Arial"/>
          <w:sz w:val="18"/>
          <w:szCs w:val="18"/>
          <w:color w:val="auto"/>
        </w:rPr>
        <w:t>. Company shall pay (a) on the Third Amendment Effective Date to each Lender an amount equal to such Lender’s Pro Rata Share (such Pro Rata Share to be calculated by also including KeyBank National Association’s $10,000,000 Second Lien Loans) of $500,000 (for the avoidance of doubt, such amount shall not be included in the calculation of “Consolidated Interest Charges” for any period) and (b) on demand all costs and expenses of the Administrative Agent and the Lenders (including the fees, costs and expenses of counsel to the Administrative Agent and/or the Lenders)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pursuant to Section 10.3 of the Credit Agreement that are outstanding as of the Third Amendment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contained in Section 10.3 of the Credit Agreement, Company shall not be required to pay those legal expenses of the Administrative Agent and the Lenders incurred directly in connection with the Administrative Agent’s and each Lender’s defense in and settlement of the matter filed on June 4, 2009 as </w:t>
      </w:r>
      <w:r>
        <w:rPr>
          <w:rFonts w:ascii="Arial" w:cs="Arial" w:eastAsia="Arial" w:hAnsi="Arial"/>
          <w:sz w:val="18"/>
          <w:szCs w:val="18"/>
          <w:i w:val="1"/>
          <w:iCs w:val="1"/>
          <w:color w:val="auto"/>
        </w:rPr>
        <w:t>Kratos Defense &amp; Security Solutions, Inc. v. Field Point III, Ltd., et al.</w:t>
      </w:r>
      <w:r>
        <w:rPr>
          <w:rFonts w:ascii="Arial" w:cs="Arial" w:eastAsia="Arial" w:hAnsi="Arial"/>
          <w:sz w:val="18"/>
          <w:szCs w:val="18"/>
          <w:color w:val="auto"/>
        </w:rPr>
        <w:t>, Case No. 09-cv-1284 (N.D. Ohio) and the matter filed on August 5, 2009 as</w:t>
      </w:r>
      <w:r>
        <w:rPr>
          <w:rFonts w:ascii="Arial" w:cs="Arial" w:eastAsia="Arial" w:hAnsi="Arial"/>
          <w:sz w:val="18"/>
          <w:szCs w:val="18"/>
          <w:i w:val="1"/>
          <w:iCs w:val="1"/>
          <w:color w:val="auto"/>
        </w:rPr>
        <w:t xml:space="preserve"> Field Point III Ltd., et. al. v. Kratos Defense &amp; Security Solutions, Inc.</w:t>
      </w:r>
      <w:r>
        <w:rPr>
          <w:rFonts w:ascii="Arial" w:cs="Arial" w:eastAsia="Arial" w:hAnsi="Arial"/>
          <w:sz w:val="18"/>
          <w:szCs w:val="18"/>
          <w:color w:val="auto"/>
        </w:rPr>
        <w:t>, Case No. 09-cv-6921 (S.D.N.Y.). For the avoidance of doubt, the proviso of the preceding</w:t>
      </w:r>
      <w:r>
        <w:rPr>
          <w:rFonts w:ascii="Arial" w:cs="Arial" w:eastAsia="Arial" w:hAnsi="Arial"/>
          <w:sz w:val="18"/>
          <w:szCs w:val="18"/>
          <w:i w:val="1"/>
          <w:iCs w:val="1"/>
          <w:color w:val="auto"/>
        </w:rPr>
        <w:t xml:space="preserve"> </w:t>
      </w:r>
      <w:r>
        <w:rPr>
          <w:rFonts w:ascii="Arial" w:cs="Arial" w:eastAsia="Arial" w:hAnsi="Arial"/>
          <w:sz w:val="18"/>
          <w:szCs w:val="18"/>
          <w:color w:val="auto"/>
        </w:rPr>
        <w:t>sentence is applicable only to the specific matters described therein and shall have no applicability to any other expenses incurred by the Administrative Agent or any Lender at any time, which such expenses shall be reimbursed by the Credit Parties in accordance with the terms of the Credit Agreement and the other Loan Documents.</w:t>
      </w:r>
    </w:p>
    <w:p>
      <w:pPr>
        <w:sectPr>
          <w:pgSz w:w="11900" w:h="16838" w:orient="portrait"/>
          <w:cols w:equalWidth="0" w:num="1">
            <w:col w:w="11400"/>
          </w:cols>
          <w:pgMar w:left="240" w:top="341" w:right="259" w:bottom="175" w:gutter="0" w:footer="0" w:header="0"/>
        </w:sectPr>
      </w:pPr>
    </w:p>
    <w:bookmarkStart w:id="90" w:name="page91"/>
    <w:bookmarkEnd w:id="90"/>
    <w:p>
      <w:pPr>
        <w:jc w:val="both"/>
        <w:ind w:right="600" w:firstLine="1297"/>
        <w:spacing w:after="0" w:line="264" w:lineRule="auto"/>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HEREUNDER SHALL BE GOVERNED BY, AND SHALL BE CONSTRUED AND ENFORCED IN ACCORDANCE WITH, THE LAWS OF THE STATE OF NEW YORK WITHOUT REGARD TO CONFLICT OF LAWS PRINCIPLES THEREOF.</w:t>
      </w:r>
    </w:p>
    <w:p>
      <w:pPr>
        <w:spacing w:after="0" w:line="181"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by telecopier (or electronic mail (in PDF format)) shall be effective as delivery of a manually executed counterpart of this Amendment.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Limited Effect</w:t>
      </w:r>
      <w:r>
        <w:rPr>
          <w:rFonts w:ascii="Arial" w:cs="Arial" w:eastAsia="Arial" w:hAnsi="Arial"/>
          <w:sz w:val="16"/>
          <w:szCs w:val="16"/>
          <w:color w:val="auto"/>
        </w:rPr>
        <w:t>. This Amendment relates only to the specific matters expressly covered herein, shall not be considered to be a waiver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claims or remedies the Borrower or any Lender may have under, or compliance by the Borrower or any Lender with any term or provision of, the Credit Agreement or any other Loan Document or applicable law, and shall not be considered to create a course of dealing or to otherwise obligate in any respect any Lender to execute similar or other amendments or grant any waivers under the same or similar or other circumstances in the future.</w:t>
      </w:r>
    </w:p>
    <w:p>
      <w:pPr>
        <w:spacing w:after="0" w:line="14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u w:val="single" w:color="auto"/>
          <w:color w:val="auto"/>
        </w:rPr>
        <w:t>Ratification by Guarantors</w:t>
      </w:r>
      <w:r>
        <w:rPr>
          <w:rFonts w:ascii="Arial" w:cs="Arial" w:eastAsia="Arial" w:hAnsi="Arial"/>
          <w:sz w:val="17"/>
          <w:szCs w:val="17"/>
          <w:color w:val="auto"/>
        </w:rPr>
        <w:t>. Each of the Guarantors acknowledges that its consent to this Amendment is not required, but each of the undersigned nevertheless does hereby agree and consent to this Amendment and to the documents and agreements referred to herein. Each of the Guarantors agrees and acknowledges that (i) notwithstanding the effectiveness of this Amendment, such Guarantor’s guaranty shall remain in full force and effect without modification thereto and (ii) nothing herein shall in any way limit any of the terms or provisions of such Guarantor’s guaranty or any other Loan Document executed by such Guarantor (as the same may be amended from time to time), all of which are hereby ratified, confirmed and affirmed in all respects. Each of the Guarantors hereby agrees and acknowledges that no other agreement, instrument, consent or document shall be required to give effect to this section. Each of the Guarantors hereby further acknowledges that Borrower, the Administrative Agent and any Lender may from time to time enter into any further amendments, modifications, terminations and/or waivers of any provisions of the Loan Documents without notice to or consent from such Guarantor and without affecting the validity or enforceability of such Guarantor’s guaranty or giving rise to any reduction, limitation, impairment, discharge or termination of such Guarantor’s guaranty.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27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KRATOS DEFENSE AND SECURITY SOLUTIONS,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MADISON RESEARCH CORPORATION</w:t>
      </w:r>
      <w:r>
        <w:rPr>
          <w:rFonts w:ascii="Arial" w:cs="Arial" w:eastAsia="Arial" w:hAnsi="Arial"/>
          <w:sz w:val="18"/>
          <w:szCs w:val="18"/>
          <w:color w:val="auto"/>
        </w:rPr>
        <w:t>, an Alabama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KRATOS COMMERCIAL SOLUTIONS, INC</w:t>
      </w:r>
      <w:r>
        <w:rPr>
          <w:rFonts w:ascii="Arial" w:cs="Arial" w:eastAsia="Arial" w:hAnsi="Arial"/>
          <w:sz w:val="17"/>
          <w:szCs w:val="17"/>
          <w:color w:val="auto"/>
        </w:rPr>
        <w:t>.</w:t>
      </w:r>
      <w:r>
        <w:rPr>
          <w:rFonts w:ascii="Arial" w:cs="Arial" w:eastAsia="Arial" w:hAnsi="Arial"/>
          <w:sz w:val="17"/>
          <w:szCs w:val="17"/>
          <w:b w:val="1"/>
          <w:bCs w:val="1"/>
          <w:color w:val="auto"/>
        </w:rPr>
        <w:t xml:space="preserve"> (f/k/a SecurePlanet, Inc.)</w:t>
      </w:r>
      <w:r>
        <w:rPr>
          <w:rFonts w:ascii="Arial" w:cs="Arial" w:eastAsia="Arial" w:hAnsi="Arial"/>
          <w:sz w:val="17"/>
          <w:szCs w:val="17"/>
          <w:color w:val="auto"/>
        </w:rPr>
        <w:t>,</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WFI NMC CORP., </w:t>
      </w:r>
      <w:r>
        <w:rPr>
          <w:rFonts w:ascii="Arial" w:cs="Arial" w:eastAsia="Arial" w:hAnsi="Arial"/>
          <w:sz w:val="18"/>
          <w:szCs w:val="18"/>
          <w:color w:val="auto"/>
        </w:rPr>
        <w:t>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KRATOS TEXAS, INC. (f/k/a WFI Texas, Inc.)</w:t>
      </w:r>
      <w:r>
        <w:rPr>
          <w:rFonts w:ascii="Arial" w:cs="Arial" w:eastAsia="Arial" w:hAnsi="Arial"/>
          <w:sz w:val="18"/>
          <w:szCs w:val="18"/>
          <w:color w:val="auto"/>
        </w:rPr>
        <w:t>, a Texas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1" w:name="page92"/>
    <w:bookmarkEnd w:id="91"/>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KRATOS SOUTHEAST, INC. (f/k/a WFI Georgia Inc.)</w:t>
      </w:r>
      <w:r>
        <w:rPr>
          <w:rFonts w:ascii="Arial" w:cs="Arial" w:eastAsia="Arial" w:hAnsi="Arial"/>
          <w:sz w:val="18"/>
          <w:szCs w:val="18"/>
          <w:color w:val="auto"/>
        </w:rPr>
        <w:t>, a Georgia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right="100"/>
        <w:spacing w:after="0" w:line="282" w:lineRule="auto"/>
        <w:rPr>
          <w:sz w:val="20"/>
          <w:szCs w:val="20"/>
          <w:color w:val="auto"/>
        </w:rPr>
      </w:pPr>
      <w:r>
        <w:rPr>
          <w:rFonts w:ascii="Arial" w:cs="Arial" w:eastAsia="Arial" w:hAnsi="Arial"/>
          <w:sz w:val="18"/>
          <w:szCs w:val="18"/>
          <w:b w:val="1"/>
          <w:bCs w:val="1"/>
          <w:color w:val="auto"/>
        </w:rPr>
        <w:t>KRATOS MID-ATLANTIC, INC. (f/k/a WFI Delaware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right="100"/>
        <w:spacing w:after="0" w:line="282" w:lineRule="auto"/>
        <w:rPr>
          <w:sz w:val="20"/>
          <w:szCs w:val="20"/>
          <w:color w:val="auto"/>
        </w:rPr>
      </w:pPr>
      <w:r>
        <w:rPr>
          <w:rFonts w:ascii="Arial" w:cs="Arial" w:eastAsia="Arial" w:hAnsi="Arial"/>
          <w:sz w:val="18"/>
          <w:szCs w:val="18"/>
          <w:b w:val="1"/>
          <w:bCs w:val="1"/>
          <w:color w:val="auto"/>
        </w:rPr>
        <w:t>KRATOS GOVERNMENT SOLUTIONS, INC. (f/k/a WFI Government Services, Inc.)</w:t>
      </w:r>
      <w:r>
        <w:rPr>
          <w:rFonts w:ascii="Arial" w:cs="Arial" w:eastAsia="Arial" w:hAnsi="Arial"/>
          <w:sz w:val="18"/>
          <w:szCs w:val="18"/>
          <w:color w:val="auto"/>
        </w:rPr>
        <w:t>, a Delaware corporation</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DEFENSE SYSTEMS, INCORPORATED</w:t>
      </w:r>
      <w:r>
        <w:rPr>
          <w:rFonts w:ascii="Arial" w:cs="Arial" w:eastAsia="Arial" w:hAnsi="Arial"/>
          <w:sz w:val="18"/>
          <w:szCs w:val="18"/>
          <w:color w:val="auto"/>
        </w:rPr>
        <w:t>, a Virginia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JMA ASSOCIATES,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HAVERSTICK CONSULTING, INC.</w:t>
      </w:r>
      <w:r>
        <w:rPr>
          <w:rFonts w:ascii="Arial" w:cs="Arial" w:eastAsia="Arial" w:hAnsi="Arial"/>
          <w:sz w:val="18"/>
          <w:szCs w:val="18"/>
          <w:color w:val="auto"/>
        </w:rPr>
        <w:t>, an Indiana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HGS HOLDINGS, INC., </w:t>
      </w:r>
      <w:r>
        <w:rPr>
          <w:rFonts w:ascii="Arial" w:cs="Arial" w:eastAsia="Arial" w:hAnsi="Arial"/>
          <w:sz w:val="18"/>
          <w:szCs w:val="18"/>
          <w:color w:val="auto"/>
        </w:rPr>
        <w:t>an Indiana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HAVERSTICK GOVERNMENT SOLUTIONS, INC.</w:t>
      </w:r>
      <w:r>
        <w:rPr>
          <w:rFonts w:ascii="Arial" w:cs="Arial" w:eastAsia="Arial" w:hAnsi="Arial"/>
          <w:sz w:val="17"/>
          <w:szCs w:val="17"/>
          <w:color w:val="auto"/>
        </w:rPr>
        <w:t>, an Ohio corporation</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DTI ASSOCIATES, INC.</w:t>
      </w:r>
      <w:r>
        <w:rPr>
          <w:rFonts w:ascii="Arial" w:cs="Arial" w:eastAsia="Arial" w:hAnsi="Arial"/>
          <w:sz w:val="18"/>
          <w:szCs w:val="18"/>
          <w:color w:val="auto"/>
        </w:rPr>
        <w:t>, a Virginia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0180"/>
          </w:cols>
          <w:pgMar w:left="1440" w:top="125" w:right="279" w:bottom="0" w:gutter="0" w:footer="0" w:header="0"/>
        </w:sectPr>
      </w:pPr>
    </w:p>
    <w:bookmarkStart w:id="92" w:name="page93"/>
    <w:bookmarkEnd w:id="92"/>
    <w:p>
      <w:pPr>
        <w:ind w:left="4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right="520"/>
        <w:spacing w:after="0" w:line="282" w:lineRule="auto"/>
        <w:rPr>
          <w:sz w:val="20"/>
          <w:szCs w:val="20"/>
          <w:color w:val="auto"/>
        </w:rPr>
      </w:pPr>
      <w:r>
        <w:rPr>
          <w:rFonts w:ascii="Arial" w:cs="Arial" w:eastAsia="Arial" w:hAnsi="Arial"/>
          <w:sz w:val="18"/>
          <w:szCs w:val="18"/>
          <w:b w:val="1"/>
          <w:bCs w:val="1"/>
          <w:color w:val="auto"/>
        </w:rPr>
        <w:t>ROCKET SUPPORT SERVICES, LLC</w:t>
      </w:r>
      <w:r>
        <w:rPr>
          <w:rFonts w:ascii="Arial" w:cs="Arial" w:eastAsia="Arial" w:hAnsi="Arial"/>
          <w:sz w:val="18"/>
          <w:szCs w:val="18"/>
          <w:color w:val="auto"/>
        </w:rPr>
        <w:t>, an Indiana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HGS Holdings, Inc., its sole member and sole manager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KRATOS SOUTHWEST L.P. (f/k/a WFI Southwest L.P.)</w:t>
      </w:r>
      <w:r>
        <w:rPr>
          <w:rFonts w:ascii="Arial" w:cs="Arial" w:eastAsia="Arial" w:hAnsi="Arial"/>
          <w:sz w:val="18"/>
          <w:szCs w:val="18"/>
          <w:color w:val="auto"/>
        </w:rPr>
        <w:t>, a Texas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Kratos Texas, Inc., a Texas corporation, its General Partner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SYS</w:t>
      </w:r>
      <w:r>
        <w:rPr>
          <w:rFonts w:ascii="Arial" w:cs="Arial" w:eastAsia="Arial" w:hAnsi="Arial"/>
          <w:sz w:val="18"/>
          <w:szCs w:val="18"/>
          <w:color w:val="auto"/>
        </w:rPr>
        <w:t>, a California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POLEXIS,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SHADOW I,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SHADOW II,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SHADOW III,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REALITY BASED IT SERVICES, LTD.</w:t>
      </w:r>
      <w:r>
        <w:rPr>
          <w:rFonts w:ascii="Arial" w:cs="Arial" w:eastAsia="Arial" w:hAnsi="Arial"/>
          <w:sz w:val="18"/>
          <w:szCs w:val="18"/>
          <w:color w:val="auto"/>
        </w:rPr>
        <w:t>, a Maryland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0100"/>
          </w:cols>
          <w:pgMar w:left="1440" w:top="125" w:right="359" w:bottom="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b w:val="1"/>
          <w:bCs w:val="1"/>
          <w:color w:val="auto"/>
        </w:rPr>
        <w:t>AI METRIX,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DIGITAL FUSION,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DIGITAL FUSION SOLUTIONS, INC.</w:t>
      </w:r>
      <w:r>
        <w:rPr>
          <w:rFonts w:ascii="Arial" w:cs="Arial" w:eastAsia="Arial" w:hAnsi="Arial"/>
          <w:sz w:val="18"/>
          <w:szCs w:val="18"/>
          <w:color w:val="auto"/>
        </w:rPr>
        <w:t>, a Florida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SUMMIT RESEARCH CORPORATION</w:t>
      </w:r>
      <w:r>
        <w:rPr>
          <w:rFonts w:ascii="Arial" w:cs="Arial" w:eastAsia="Arial" w:hAnsi="Arial"/>
          <w:sz w:val="17"/>
          <w:szCs w:val="17"/>
          <w:color w:val="auto"/>
        </w:rPr>
        <w:t>, an Alabama corporation</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5715</wp:posOffset>
            </wp:positionV>
            <wp:extent cx="31813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 Administrative Agent</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5715</wp:posOffset>
            </wp:positionV>
            <wp:extent cx="33020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329311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FIELD POINT III, LTD.</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5715</wp:posOffset>
            </wp:positionV>
            <wp:extent cx="32848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0"/>
          </w:cols>
          <w:pgMar w:left="1440" w:top="337" w:right="899" w:bottom="262" w:gutter="0" w:footer="0" w:header="0"/>
        </w:sectPr>
      </w:pPr>
    </w:p>
    <w:bookmarkStart w:id="94" w:name="page95"/>
    <w:bookmarkEnd w:id="94"/>
    <w:p>
      <w:pPr>
        <w:ind w:left="5540"/>
        <w:spacing w:after="0"/>
        <w:rPr>
          <w:sz w:val="20"/>
          <w:szCs w:val="20"/>
          <w:color w:val="auto"/>
        </w:rPr>
      </w:pPr>
      <w:r>
        <w:rPr>
          <w:rFonts w:ascii="Arial" w:cs="Arial" w:eastAsia="Arial" w:hAnsi="Arial"/>
          <w:sz w:val="18"/>
          <w:szCs w:val="18"/>
          <w:b w:val="1"/>
          <w:bCs w:val="1"/>
          <w:color w:val="auto"/>
        </w:rPr>
        <w:t>FIELD POINT IV, LTD.</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SPF CDO I, LTD.</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BROAD POINT I, B.V.</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Third Amendment to First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Settlement Agreement and General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Third Amendment to Second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0" w:type="dxa"/>
            <w:vAlign w:val="bottom"/>
            <w:gridSpan w:val="4"/>
          </w:tcPr>
          <w:p>
            <w:pPr>
              <w:jc w:val="center"/>
              <w:ind w:right="3900"/>
              <w:spacing w:after="0"/>
              <w:rPr>
                <w:sz w:val="20"/>
                <w:szCs w:val="20"/>
                <w:color w:val="auto"/>
              </w:rPr>
            </w:pPr>
            <w:r>
              <w:rPr>
                <w:rFonts w:ascii="Arial" w:cs="Arial" w:eastAsia="Arial" w:hAnsi="Arial"/>
                <w:sz w:val="18"/>
                <w:szCs w:val="18"/>
                <w:color w:val="auto"/>
                <w:w w:val="97"/>
              </w:rPr>
              <w:t>Exhibit C</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Costs, Expenses and Other Amounts Payable Pursuant to Section 15(b)</w:t>
            </w:r>
          </w:p>
        </w:tc>
        <w:tc>
          <w:tcPr>
            <w:tcW w:w="16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960" w:type="dxa"/>
            <w:vAlign w:val="bottom"/>
            <w:gridSpan w:val="7"/>
          </w:tcPr>
          <w:p>
            <w:pPr>
              <w:spacing w:after="0"/>
              <w:rPr>
                <w:sz w:val="20"/>
                <w:szCs w:val="20"/>
                <w:color w:val="auto"/>
              </w:rPr>
            </w:pPr>
            <w:r>
              <w:rPr>
                <w:rFonts w:ascii="Arial" w:cs="Arial" w:eastAsia="Arial" w:hAnsi="Arial"/>
                <w:sz w:val="14"/>
                <w:szCs w:val="14"/>
                <w:b w:val="1"/>
                <w:bCs w:val="1"/>
                <w:color w:val="auto"/>
              </w:rPr>
              <w:t>Costs, Expenses and Other Amounts Payable to:</w:t>
            </w:r>
          </w:p>
        </w:tc>
        <w:tc>
          <w:tcPr>
            <w:tcW w:w="26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Latham &amp; Watkins LLP</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74,315.80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9"/>
              </w:rPr>
              <w:t>Silver Point Capital, L.P. (for reimbursement for the costs, expenses and other amounts paid to Alvarez &amp; Marsal Transaction</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Advisory Group, LLC)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26,375.60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95" w:name="page96"/>
    <w:bookmarkEnd w:id="95"/>
    <w:p>
      <w:pPr>
        <w:spacing w:after="0" w:line="62"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Exhibit 10.3</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AMENDMENT TO SECOND LIEN CREDIT AGREEMENT</w:t>
      </w:r>
    </w:p>
    <w:p>
      <w:pPr>
        <w:spacing w:after="0" w:line="229"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This Third Amendment to Second Lien Credit Agreement (this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is entered into as of October 16, 2009 (the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by and among</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KRATOS DEFENSE AND SECURITY SOLUTIONS, INC.</w:t>
      </w:r>
      <w:r>
        <w:rPr>
          <w:rFonts w:ascii="Arial" w:cs="Arial" w:eastAsia="Arial" w:hAnsi="Arial"/>
          <w:sz w:val="18"/>
          <w:szCs w:val="18"/>
          <w:color w:val="auto"/>
        </w:rPr>
        <w:t>, a Delaware corporation (</w:t>
      </w:r>
      <w:r>
        <w:rPr>
          <w:rFonts w:ascii="Arial" w:cs="Arial" w:eastAsia="Arial" w:hAnsi="Arial"/>
          <w:sz w:val="18"/>
          <w:szCs w:val="18"/>
          <w:i w:val="1"/>
          <w:iCs w:val="1"/>
          <w:color w:val="auto"/>
        </w:rPr>
        <w:t>“Borrower”</w:t>
      </w:r>
      <w:r>
        <w:rPr>
          <w:rFonts w:ascii="Arial" w:cs="Arial" w:eastAsia="Arial" w:hAnsi="Arial"/>
          <w:sz w:val="18"/>
          <w:szCs w:val="18"/>
          <w:color w:val="auto"/>
        </w:rPr>
        <w:t>), the guarantors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referred to in the Credit Agreement (as defined below), </w:t>
      </w: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 Administrative Agent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the Lenders party hereto.</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2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reference is made to that certain Second Lien Credit Agreement, dated as of December 31, 2007 (as amended from time to time,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Agreement”</w:t>
      </w:r>
      <w:r>
        <w:rPr>
          <w:rFonts w:ascii="Arial" w:cs="Arial" w:eastAsia="Arial" w:hAnsi="Arial"/>
          <w:sz w:val="17"/>
          <w:szCs w:val="17"/>
          <w:color w:val="auto"/>
        </w:rPr>
        <w:t>; capitalized terms used herein without definition have the meanings ascribed to such terms in the Credit Agreement), among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KeyBank National Association, as administrative agent and issuing lender thereunder, and the lenders party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Borrower has requested that the Administrative Agent and the Lenders agree to amend the Credit Agreement to effect certain changes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hereof, the Administrative Agent and the Lenders have agreed to make such requested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Credit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covenants herein contained, the parties hereto hereby agree as follows:</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Section References</w:t>
      </w:r>
      <w:r>
        <w:rPr>
          <w:rFonts w:ascii="Arial" w:cs="Arial" w:eastAsia="Arial" w:hAnsi="Arial"/>
          <w:sz w:val="16"/>
          <w:szCs w:val="16"/>
          <w:color w:val="auto"/>
        </w:rPr>
        <w:t>. Unless otherwise expressly stated herein, all Section references herein shall refer to Sections of the Credit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Amendments to Section 1.1 of the Credit Agreement</w:t>
      </w:r>
      <w:r>
        <w:rPr>
          <w:rFonts w:ascii="Arial" w:cs="Arial" w:eastAsia="Arial" w:hAnsi="Arial"/>
          <w:sz w:val="18"/>
          <w:szCs w:val="18"/>
          <w:color w:val="auto"/>
        </w:rPr>
        <w:t>. Section 1.1 of the Credit Agreement is hereby amended by: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adding the following clause (m) to the definition of </w:t>
      </w:r>
      <w:r>
        <w:rPr>
          <w:rFonts w:ascii="Arial" w:cs="Arial" w:eastAsia="Arial" w:hAnsi="Arial"/>
          <w:sz w:val="18"/>
          <w:szCs w:val="18"/>
          <w:i w:val="1"/>
          <w:iCs w:val="1"/>
          <w:color w:val="auto"/>
        </w:rPr>
        <w:t>“Consolidated EBITDA”</w:t>
      </w:r>
      <w:r>
        <w:rPr>
          <w:rFonts w:ascii="Arial" w:cs="Arial" w:eastAsia="Arial" w:hAnsi="Arial"/>
          <w:sz w:val="18"/>
          <w:szCs w:val="18"/>
          <w:color w:val="auto"/>
        </w:rPr>
        <w:t>, immediately after existing clause (l) thereof:</w:t>
      </w:r>
    </w:p>
    <w:p>
      <w:pPr>
        <w:spacing w:after="0" w:line="225" w:lineRule="exact"/>
        <w:rPr>
          <w:sz w:val="20"/>
          <w:szCs w:val="20"/>
          <w:color w:val="auto"/>
        </w:rPr>
      </w:pPr>
    </w:p>
    <w:p>
      <w:pPr>
        <w:ind w:left="660" w:right="60" w:firstLine="630"/>
        <w:spacing w:after="0" w:line="342" w:lineRule="auto"/>
        <w:rPr>
          <w:sz w:val="20"/>
          <w:szCs w:val="20"/>
          <w:color w:val="auto"/>
        </w:rPr>
      </w:pPr>
      <w:r>
        <w:rPr>
          <w:rFonts w:ascii="Arial" w:cs="Arial" w:eastAsia="Arial" w:hAnsi="Arial"/>
          <w:sz w:val="16"/>
          <w:szCs w:val="16"/>
          <w:color w:val="auto"/>
        </w:rPr>
        <w:t>“(m) the amount of any insurance proceeds received from and after the Third Amendment Effective Date during any period by Borrower or any of its Subsidiaries to reimburse Borrower or such Subsidiary for costs that reduced Consolidated Net Income and were recorded in such</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period or a prior period but in any case subsequent to January 1, 2008, to the extent such amount has not otherwise been included in the calculation of Consolidated Net Income or been added to Consolidated Net Income pursuant to any other clause of this definition;”;</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adding the following clause (w) to the definition of </w:t>
      </w:r>
      <w:r>
        <w:rPr>
          <w:rFonts w:ascii="Arial" w:cs="Arial" w:eastAsia="Arial" w:hAnsi="Arial"/>
          <w:sz w:val="17"/>
          <w:szCs w:val="17"/>
          <w:i w:val="1"/>
          <w:iCs w:val="1"/>
          <w:color w:val="auto"/>
        </w:rPr>
        <w:t>“Consolidated EBITDA”</w:t>
      </w:r>
      <w:r>
        <w:rPr>
          <w:rFonts w:ascii="Arial" w:cs="Arial" w:eastAsia="Arial" w:hAnsi="Arial"/>
          <w:sz w:val="17"/>
          <w:szCs w:val="17"/>
          <w:color w:val="auto"/>
        </w:rPr>
        <w:t>, immediately before existing clause (x) thereof:</w:t>
      </w:r>
    </w:p>
    <w:p>
      <w:pPr>
        <w:spacing w:after="0" w:line="237" w:lineRule="exact"/>
        <w:rPr>
          <w:sz w:val="20"/>
          <w:szCs w:val="20"/>
          <w:color w:val="auto"/>
        </w:rPr>
      </w:pPr>
    </w:p>
    <w:p>
      <w:pPr>
        <w:ind w:left="660" w:right="60" w:firstLine="630"/>
        <w:spacing w:after="0" w:line="308" w:lineRule="auto"/>
        <w:rPr>
          <w:sz w:val="20"/>
          <w:szCs w:val="20"/>
          <w:color w:val="auto"/>
        </w:rPr>
      </w:pPr>
      <w:r>
        <w:rPr>
          <w:rFonts w:ascii="Arial" w:cs="Arial" w:eastAsia="Arial" w:hAnsi="Arial"/>
          <w:sz w:val="17"/>
          <w:szCs w:val="17"/>
          <w:color w:val="auto"/>
        </w:rPr>
        <w:t>“(w) the amount of any insurance proceeds increasing Consolidated Net Income received from and after the Third Amendment Effective Date during any period by Borrower or any of its Subsidiaries to reimburse costs recorded in periods prior to January 1, 2008;”;</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inserting the following defined terms in alphabetical order therein:</w:t>
      </w:r>
    </w:p>
    <w:p>
      <w:pPr>
        <w:spacing w:after="0" w:line="225" w:lineRule="exact"/>
        <w:rPr>
          <w:sz w:val="20"/>
          <w:szCs w:val="20"/>
          <w:color w:val="auto"/>
        </w:rPr>
      </w:pPr>
    </w:p>
    <w:p>
      <w:pPr>
        <w:ind w:left="660" w:right="120" w:firstLine="63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w:t>
      </w:r>
      <w:r>
        <w:rPr>
          <w:rFonts w:ascii="Arial" w:cs="Arial" w:eastAsia="Arial" w:hAnsi="Arial"/>
          <w:sz w:val="18"/>
          <w:szCs w:val="18"/>
          <w:color w:val="auto"/>
        </w:rPr>
        <w:t xml:space="preserve"> means that certain Third Amendment to Second Lien Credit Agreement, dated as of October 16, 2009, by and among Borrower, the Guarantors, the Administrative Agent and the Lenders party thereto.</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“Third Amendment Effective Date” </w:t>
      </w:r>
      <w:r>
        <w:rPr>
          <w:rFonts w:ascii="Arial" w:cs="Arial" w:eastAsia="Arial" w:hAnsi="Arial"/>
          <w:sz w:val="18"/>
          <w:szCs w:val="18"/>
          <w:color w:val="auto"/>
        </w:rPr>
        <w:t>means the “Amendment Effective Date” as defined in the Third Amendment.”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u w:val="single" w:color="auto"/>
          <w:color w:val="auto"/>
        </w:rPr>
        <w:t>Amendment to Schedule 7.12(c) of the Credit Agreement</w:t>
      </w:r>
      <w:r>
        <w:rPr>
          <w:rFonts w:ascii="Arial" w:cs="Arial" w:eastAsia="Arial" w:hAnsi="Arial"/>
          <w:sz w:val="18"/>
          <w:szCs w:val="18"/>
          <w:color w:val="auto"/>
        </w:rPr>
        <w:t>. Schedule 7.12(c) of the Credit Agreement is hereby amended by deleting the text thereof in its entirety and inserting the following in lieu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gridSpan w:val="4"/>
          </w:tcPr>
          <w:p>
            <w:pPr>
              <w:jc w:val="center"/>
              <w:ind w:right="1620"/>
              <w:spacing w:after="0"/>
              <w:rPr>
                <w:sz w:val="20"/>
                <w:szCs w:val="20"/>
                <w:color w:val="auto"/>
              </w:rPr>
            </w:pPr>
            <w:r>
              <w:rPr>
                <w:rFonts w:ascii="Arial" w:cs="Arial" w:eastAsia="Arial" w:hAnsi="Arial"/>
                <w:sz w:val="18"/>
                <w:szCs w:val="18"/>
                <w:color w:val="auto"/>
                <w:w w:val="94"/>
              </w:rPr>
              <w:t>SCHEDULE 7.12(c)</w:t>
            </w:r>
          </w:p>
        </w:tc>
        <w:tc>
          <w:tcPr>
            <w:tcW w:w="22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440" w:type="dxa"/>
            <w:vAlign w:val="bottom"/>
            <w:gridSpan w:val="4"/>
          </w:tcPr>
          <w:p>
            <w:pPr>
              <w:jc w:val="center"/>
              <w:ind w:right="1600"/>
              <w:spacing w:after="0"/>
              <w:rPr>
                <w:sz w:val="20"/>
                <w:szCs w:val="20"/>
                <w:color w:val="auto"/>
              </w:rPr>
            </w:pPr>
            <w:r>
              <w:rPr>
                <w:rFonts w:ascii="Arial" w:cs="Arial" w:eastAsia="Arial" w:hAnsi="Arial"/>
                <w:sz w:val="18"/>
                <w:szCs w:val="18"/>
                <w:color w:val="auto"/>
              </w:rPr>
              <w:t>MINIMUM LIQUIDITY RATIO</w:t>
            </w:r>
          </w:p>
        </w:tc>
        <w:tc>
          <w:tcPr>
            <w:tcW w:w="2220" w:type="dxa"/>
            <w:vAlign w:val="bottom"/>
          </w:tcPr>
          <w:p>
            <w:pPr>
              <w:spacing w:after="0"/>
              <w:rPr>
                <w:sz w:val="24"/>
                <w:szCs w:val="24"/>
                <w:color w:val="auto"/>
              </w:rPr>
            </w:pPr>
          </w:p>
        </w:tc>
      </w:tr>
      <w:tr>
        <w:trPr>
          <w:trHeight w:val="342"/>
        </w:trPr>
        <w:tc>
          <w:tcPr>
            <w:tcW w:w="16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Fiscal Quarter</w:t>
            </w:r>
          </w:p>
        </w:tc>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Liquidity</w:t>
            </w:r>
          </w:p>
        </w:tc>
        <w:tc>
          <w:tcPr>
            <w:tcW w:w="2220" w:type="dxa"/>
            <w:vAlign w:val="bottom"/>
          </w:tcPr>
          <w:p>
            <w:pPr>
              <w:spacing w:after="0"/>
              <w:rPr>
                <w:sz w:val="24"/>
                <w:szCs w:val="24"/>
                <w:color w:val="auto"/>
              </w:rPr>
            </w:pPr>
          </w:p>
        </w:tc>
      </w:tr>
      <w:tr>
        <w:trPr>
          <w:trHeight w:val="171"/>
        </w:trPr>
        <w:tc>
          <w:tcPr>
            <w:tcW w:w="16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Ending</w:t>
            </w: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Ratio</w:t>
            </w:r>
          </w:p>
        </w:tc>
        <w:tc>
          <w:tcPr>
            <w:tcW w:w="2220" w:type="dxa"/>
            <w:vAlign w:val="bottom"/>
          </w:tcPr>
          <w:p>
            <w:pPr>
              <w:spacing w:after="0"/>
              <w:rPr>
                <w:sz w:val="14"/>
                <w:szCs w:val="14"/>
                <w:color w:val="auto"/>
              </w:rPr>
            </w:pPr>
          </w:p>
        </w:tc>
      </w:tr>
      <w:tr>
        <w:trPr>
          <w:trHeight w:val="210"/>
        </w:trPr>
        <w:tc>
          <w:tcPr>
            <w:tcW w:w="16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1.17:1.00</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March 31, 2008</w:t>
            </w:r>
          </w:p>
        </w:tc>
        <w:tc>
          <w:tcPr>
            <w:tcW w:w="530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1.25.1.00</w:t>
            </w: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5300" w:type="dxa"/>
            <w:vAlign w:val="bottom"/>
            <w:gridSpan w:val="3"/>
            <w:shd w:val="clear" w:color="auto" w:fill="CCEEFF"/>
          </w:tcPr>
          <w:p>
            <w:pPr>
              <w:jc w:val="center"/>
              <w:ind w:left="3570"/>
              <w:spacing w:after="0"/>
              <w:rPr>
                <w:sz w:val="20"/>
                <w:szCs w:val="20"/>
                <w:color w:val="auto"/>
              </w:rPr>
            </w:pPr>
            <w:r>
              <w:rPr>
                <w:rFonts w:ascii="Arial" w:cs="Arial" w:eastAsia="Arial" w:hAnsi="Arial"/>
                <w:sz w:val="18"/>
                <w:szCs w:val="18"/>
                <w:color w:val="auto"/>
                <w:w w:val="90"/>
              </w:rPr>
              <w:t>1.25:1.00</w:t>
            </w:r>
          </w:p>
        </w:tc>
        <w:tc>
          <w:tcPr>
            <w:tcW w:w="140" w:type="dxa"/>
            <w:vAlign w:val="bottom"/>
            <w:shd w:val="clear" w:color="auto" w:fill="CCEEFF"/>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September 30, 2008</w:t>
            </w:r>
          </w:p>
        </w:tc>
        <w:tc>
          <w:tcPr>
            <w:tcW w:w="530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1.26:1.00</w:t>
            </w: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5300" w:type="dxa"/>
            <w:vAlign w:val="bottom"/>
            <w:gridSpan w:val="3"/>
            <w:shd w:val="clear" w:color="auto" w:fill="CCEEFF"/>
          </w:tcPr>
          <w:p>
            <w:pPr>
              <w:jc w:val="center"/>
              <w:ind w:left="3570"/>
              <w:spacing w:after="0"/>
              <w:rPr>
                <w:sz w:val="20"/>
                <w:szCs w:val="20"/>
                <w:color w:val="auto"/>
              </w:rPr>
            </w:pPr>
            <w:r>
              <w:rPr>
                <w:rFonts w:ascii="Arial" w:cs="Arial" w:eastAsia="Arial" w:hAnsi="Arial"/>
                <w:sz w:val="18"/>
                <w:szCs w:val="18"/>
                <w:color w:val="auto"/>
                <w:w w:val="90"/>
              </w:rPr>
              <w:t>1.39:1.00</w:t>
            </w:r>
          </w:p>
        </w:tc>
        <w:tc>
          <w:tcPr>
            <w:tcW w:w="140" w:type="dxa"/>
            <w:vAlign w:val="bottom"/>
            <w:shd w:val="clear" w:color="auto" w:fill="CCEEFF"/>
          </w:tcPr>
          <w:p>
            <w:pPr>
              <w:spacing w:after="0"/>
              <w:rPr>
                <w:sz w:val="18"/>
                <w:szCs w:val="18"/>
                <w:color w:val="auto"/>
              </w:rPr>
            </w:pPr>
          </w:p>
        </w:tc>
        <w:tc>
          <w:tcPr>
            <w:tcW w:w="222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00" w:type="dxa"/>
            <w:vAlign w:val="bottom"/>
          </w:tcPr>
          <w:p>
            <w:pPr>
              <w:jc w:val="center"/>
              <w:ind w:left="43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gridSpan w:val="2"/>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r>
      <w:tr>
        <w:trPr>
          <w:trHeight w:val="690"/>
        </w:trPr>
        <w:tc>
          <w:tcPr>
            <w:tcW w:w="16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Fiscal Quarter</w:t>
            </w:r>
          </w:p>
        </w:tc>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Liquidity</w:t>
            </w:r>
          </w:p>
        </w:tc>
        <w:tc>
          <w:tcPr>
            <w:tcW w:w="2220" w:type="dxa"/>
            <w:vAlign w:val="bottom"/>
          </w:tcPr>
          <w:p>
            <w:pPr>
              <w:spacing w:after="0"/>
              <w:rPr>
                <w:sz w:val="24"/>
                <w:szCs w:val="24"/>
                <w:color w:val="auto"/>
              </w:rPr>
            </w:pPr>
          </w:p>
        </w:tc>
      </w:tr>
      <w:tr>
        <w:trPr>
          <w:trHeight w:val="171"/>
        </w:trPr>
        <w:tc>
          <w:tcPr>
            <w:tcW w:w="16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Ending</w:t>
            </w: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Ratio</w:t>
            </w:r>
          </w:p>
        </w:tc>
        <w:tc>
          <w:tcPr>
            <w:tcW w:w="2220" w:type="dxa"/>
            <w:vAlign w:val="bottom"/>
          </w:tcPr>
          <w:p>
            <w:pPr>
              <w:spacing w:after="0"/>
              <w:rPr>
                <w:sz w:val="14"/>
                <w:szCs w:val="14"/>
                <w:color w:val="auto"/>
              </w:rPr>
            </w:pPr>
          </w:p>
        </w:tc>
      </w:tr>
      <w:tr>
        <w:trPr>
          <w:trHeight w:val="210"/>
        </w:trPr>
        <w:tc>
          <w:tcPr>
            <w:tcW w:w="16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2009</w:t>
            </w:r>
          </w:p>
        </w:tc>
        <w:tc>
          <w:tcPr>
            <w:tcW w:w="3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1.24:1.00</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June 30, 2009</w:t>
            </w:r>
          </w:p>
        </w:tc>
        <w:tc>
          <w:tcPr>
            <w:tcW w:w="530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1.22:1.00</w:t>
            </w: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300" w:type="dxa"/>
            <w:vAlign w:val="bottom"/>
            <w:gridSpan w:val="3"/>
            <w:shd w:val="clear" w:color="auto" w:fill="CCEEFF"/>
          </w:tcPr>
          <w:p>
            <w:pPr>
              <w:jc w:val="center"/>
              <w:ind w:left="3570"/>
              <w:spacing w:after="0"/>
              <w:rPr>
                <w:sz w:val="20"/>
                <w:szCs w:val="20"/>
                <w:color w:val="auto"/>
              </w:rPr>
            </w:pPr>
            <w:r>
              <w:rPr>
                <w:rFonts w:ascii="Arial" w:cs="Arial" w:eastAsia="Arial" w:hAnsi="Arial"/>
                <w:sz w:val="18"/>
                <w:szCs w:val="18"/>
                <w:color w:val="auto"/>
                <w:w w:val="90"/>
              </w:rPr>
              <w:t>1.20:1.00</w:t>
            </w:r>
          </w:p>
        </w:tc>
        <w:tc>
          <w:tcPr>
            <w:tcW w:w="140" w:type="dxa"/>
            <w:vAlign w:val="bottom"/>
            <w:shd w:val="clear" w:color="auto" w:fill="CCEEFF"/>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December 31, 2009</w:t>
            </w:r>
          </w:p>
        </w:tc>
        <w:tc>
          <w:tcPr>
            <w:tcW w:w="5300" w:type="dxa"/>
            <w:vAlign w:val="bottom"/>
            <w:tcBorders>
              <w:bottom w:val="single" w:sz="8" w:color="CCEEFF"/>
            </w:tcBorders>
            <w:gridSpan w:val="3"/>
          </w:tcPr>
          <w:p>
            <w:pPr>
              <w:jc w:val="center"/>
              <w:ind w:left="3570"/>
              <w:spacing w:after="0"/>
              <w:rPr>
                <w:sz w:val="20"/>
                <w:szCs w:val="20"/>
                <w:color w:val="auto"/>
              </w:rPr>
            </w:pPr>
            <w:r>
              <w:rPr>
                <w:rFonts w:ascii="Arial" w:cs="Arial" w:eastAsia="Arial" w:hAnsi="Arial"/>
                <w:sz w:val="18"/>
                <w:szCs w:val="18"/>
                <w:color w:val="auto"/>
                <w:w w:val="90"/>
              </w:rPr>
              <w:t>1.18:1.00</w:t>
            </w:r>
          </w:p>
        </w:tc>
        <w:tc>
          <w:tcPr>
            <w:tcW w:w="140" w:type="dxa"/>
            <w:vAlign w:val="bottom"/>
            <w:tcBorders>
              <w:bottom w:val="single" w:sz="8" w:color="CCEEFF"/>
            </w:tcBorders>
          </w:tcPr>
          <w:p>
            <w:pPr>
              <w:spacing w:after="0"/>
              <w:rPr>
                <w:sz w:val="18"/>
                <w:szCs w:val="18"/>
                <w:color w:val="auto"/>
              </w:rPr>
            </w:pPr>
          </w:p>
        </w:tc>
        <w:tc>
          <w:tcPr>
            <w:tcW w:w="2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-1135380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-1135380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4" w:right="199" w:bottom="0" w:gutter="0" w:footer="0" w:header="0"/>
        </w:sectPr>
      </w:pPr>
    </w:p>
    <w:bookmarkStart w:id="96" w:name="page97"/>
    <w:bookmarkEnd w:id="96"/>
    <w:tbl>
      <w:tblPr>
        <w:tblLayout w:type="fixed"/>
        <w:tblInd w:w="162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1.07:1.00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June 30, 2010</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1.05:1.00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1.05:1.00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December 31, 2010</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1.04:1.00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1.03:1.00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June 30, 2011</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1.03:1.00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1.04:1.00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December 31, 2011</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0.92:1.00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0.97:1.00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June 30, 2012</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1.02:1.00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3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1.09:1.00</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December 31, 2012</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1.25:1.00</w:t>
            </w:r>
          </w:p>
        </w:tc>
      </w:tr>
    </w:tbl>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Conditions Precedent</w:t>
      </w:r>
      <w:r>
        <w:rPr>
          <w:rFonts w:ascii="Arial" w:cs="Arial" w:eastAsia="Arial" w:hAnsi="Arial"/>
          <w:sz w:val="17"/>
          <w:szCs w:val="17"/>
          <w:color w:val="auto"/>
        </w:rPr>
        <w:t>. The effectiveness of this Amendment is subject to the satisfaction of each of the following conditions precedent:</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Lenders shall have received all of the following, in form and substance satisfactory to the Lenders:</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Amendment, duly executed and delivered by each Credit Party, the Administrative Agent and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660" w:right="340" w:firstLine="2269"/>
        <w:spacing w:after="0" w:line="264" w:lineRule="auto"/>
        <w:rPr>
          <w:sz w:val="20"/>
          <w:szCs w:val="20"/>
          <w:color w:val="auto"/>
        </w:rPr>
      </w:pPr>
      <w:r>
        <w:rPr>
          <w:rFonts w:ascii="Arial" w:cs="Arial" w:eastAsia="Arial" w:hAnsi="Arial"/>
          <w:sz w:val="18"/>
          <w:szCs w:val="18"/>
          <w:u w:val="single" w:color="auto"/>
          <w:color w:val="auto"/>
        </w:rPr>
        <w:t>Settlement Agreement and Releases</w:t>
      </w:r>
      <w:r>
        <w:rPr>
          <w:rFonts w:ascii="Arial" w:cs="Arial" w:eastAsia="Arial" w:hAnsi="Arial"/>
          <w:sz w:val="18"/>
          <w:szCs w:val="18"/>
          <w:color w:val="auto"/>
        </w:rPr>
        <w:t xml:space="preserve">. A copy of the Settlement Agreement and General Release of Claims, in the form attached hereto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and evidence that such Settlement Agreement and General Release of Claims has been duly executed and delivered by Borrower, KeyBank National Association, Field Point III, Ltd. and SPF CDO I, Ltd.;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2269"/>
        <w:spacing w:after="0" w:line="312" w:lineRule="auto"/>
        <w:rPr>
          <w:sz w:val="20"/>
          <w:szCs w:val="20"/>
          <w:color w:val="auto"/>
        </w:rPr>
      </w:pPr>
      <w:r>
        <w:rPr>
          <w:rFonts w:ascii="Arial" w:cs="Arial" w:eastAsia="Arial" w:hAnsi="Arial"/>
          <w:sz w:val="16"/>
          <w:szCs w:val="16"/>
          <w:u w:val="single" w:color="auto"/>
          <w:color w:val="auto"/>
        </w:rPr>
        <w:t>First Lien Amendment</w:t>
      </w:r>
      <w:r>
        <w:rPr>
          <w:rFonts w:ascii="Arial" w:cs="Arial" w:eastAsia="Arial" w:hAnsi="Arial"/>
          <w:sz w:val="16"/>
          <w:szCs w:val="16"/>
          <w:color w:val="auto"/>
        </w:rPr>
        <w:t xml:space="preserve">. A copy of the Third Amendment to First Lien Credit Agreement, in the form attached hereto as </w:t>
      </w:r>
      <w:r>
        <w:rPr>
          <w:rFonts w:ascii="Arial" w:cs="Arial" w:eastAsia="Arial" w:hAnsi="Arial"/>
          <w:sz w:val="16"/>
          <w:szCs w:val="16"/>
          <w:b w:val="1"/>
          <w:bCs w:val="1"/>
          <w:i w:val="1"/>
          <w:iCs w:val="1"/>
          <w:color w:val="auto"/>
        </w:rPr>
        <w:t>Exhibit B</w:t>
      </w:r>
      <w:r>
        <w:rPr>
          <w:rFonts w:ascii="Arial" w:cs="Arial" w:eastAsia="Arial" w:hAnsi="Arial"/>
          <w:sz w:val="16"/>
          <w:szCs w:val="16"/>
          <w:color w:val="auto"/>
        </w:rPr>
        <w:t xml:space="preserve"> (the </w:t>
      </w:r>
      <w:r>
        <w:rPr>
          <w:rFonts w:ascii="Arial" w:cs="Arial" w:eastAsia="Arial" w:hAnsi="Arial"/>
          <w:sz w:val="16"/>
          <w:szCs w:val="16"/>
          <w:i w:val="1"/>
          <w:iCs w:val="1"/>
          <w:color w:val="auto"/>
        </w:rPr>
        <w:t>“Third Amendment to First Lien Credit Agreement”</w:t>
      </w:r>
      <w:r>
        <w:rPr>
          <w:rFonts w:ascii="Arial" w:cs="Arial" w:eastAsia="Arial" w:hAnsi="Arial"/>
          <w:sz w:val="16"/>
          <w:szCs w:val="16"/>
          <w:color w:val="auto"/>
        </w:rPr>
        <w:t>), and evidence that such Third Amendment to First Lien Credit Agreement has been duly executed and delivered by each Credit Party, the First Lien Administrative Agent and the lenders party to the First Lien Credit Agreement;</w:t>
      </w:r>
    </w:p>
    <w:p>
      <w:pPr>
        <w:spacing w:after="0" w:line="147" w:lineRule="exact"/>
        <w:rPr>
          <w:sz w:val="20"/>
          <w:szCs w:val="20"/>
          <w:color w:val="auto"/>
        </w:rPr>
      </w:pPr>
    </w:p>
    <w:p>
      <w:pPr>
        <w:ind w:left="2920"/>
        <w:spacing w:after="0"/>
        <w:rPr>
          <w:sz w:val="20"/>
          <w:szCs w:val="20"/>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costs, expenses and other amounts payable on the Amendment Effective Date referred to 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 hereof; and</w:t>
      </w:r>
    </w:p>
    <w:p>
      <w:pPr>
        <w:spacing w:after="0" w:line="211" w:lineRule="exact"/>
        <w:rPr>
          <w:sz w:val="20"/>
          <w:szCs w:val="20"/>
          <w:color w:val="auto"/>
        </w:rPr>
      </w:pPr>
    </w:p>
    <w:p>
      <w:pPr>
        <w:ind w:left="660" w:right="140" w:firstLine="2269"/>
        <w:spacing w:after="0" w:line="286" w:lineRule="auto"/>
        <w:rPr>
          <w:sz w:val="20"/>
          <w:szCs w:val="20"/>
          <w:color w:val="auto"/>
        </w:rPr>
      </w:pPr>
      <w:r>
        <w:rPr>
          <w:rFonts w:ascii="Arial" w:cs="Arial" w:eastAsia="Arial" w:hAnsi="Arial"/>
          <w:sz w:val="17"/>
          <w:szCs w:val="17"/>
          <w:u w:val="single" w:color="auto"/>
          <w:color w:val="auto"/>
        </w:rPr>
        <w:t>Additional Information</w:t>
      </w:r>
      <w:r>
        <w:rPr>
          <w:rFonts w:ascii="Arial" w:cs="Arial" w:eastAsia="Arial" w:hAnsi="Arial"/>
          <w:sz w:val="17"/>
          <w:szCs w:val="17"/>
          <w:color w:val="auto"/>
        </w:rPr>
        <w:t>. Such additional documents, instruments and information as Administrative Agent may reasonably request to effect the transactions contemplated hereby, including, without limitation, evidence of corporate authorization and an opinion of Borrower’s outside counsel as to typical corporate matters such as authorization, lack of conflicts and enforceability.</w:t>
      </w:r>
    </w:p>
    <w:p>
      <w:pPr>
        <w:spacing w:after="0" w:line="166" w:lineRule="exact"/>
        <w:rPr>
          <w:sz w:val="20"/>
          <w:szCs w:val="20"/>
          <w:color w:val="auto"/>
        </w:rPr>
      </w:pPr>
    </w:p>
    <w:p>
      <w:pPr>
        <w:ind w:firstLine="1945"/>
        <w:spacing w:after="0" w:line="312" w:lineRule="auto"/>
        <w:rPr>
          <w:sz w:val="20"/>
          <w:szCs w:val="20"/>
          <w:color w:val="auto"/>
        </w:rPr>
      </w:pPr>
      <w:r>
        <w:rPr>
          <w:rFonts w:ascii="Arial" w:cs="Arial" w:eastAsia="Arial" w:hAnsi="Arial"/>
          <w:sz w:val="16"/>
          <w:szCs w:val="16"/>
          <w:u w:val="single" w:color="auto"/>
          <w:color w:val="auto"/>
        </w:rPr>
        <w:t>PIPE Transaction</w:t>
      </w:r>
      <w:r>
        <w:rPr>
          <w:rFonts w:ascii="Arial" w:cs="Arial" w:eastAsia="Arial" w:hAnsi="Arial"/>
          <w:sz w:val="16"/>
          <w:szCs w:val="16"/>
          <w:color w:val="auto"/>
        </w:rPr>
        <w:t xml:space="preserve">. Borrower shall have consummated a PIPE transaction (the </w:t>
      </w:r>
      <w:r>
        <w:rPr>
          <w:rFonts w:ascii="Arial" w:cs="Arial" w:eastAsia="Arial" w:hAnsi="Arial"/>
          <w:sz w:val="16"/>
          <w:szCs w:val="16"/>
          <w:i w:val="1"/>
          <w:iCs w:val="1"/>
          <w:color w:val="auto"/>
        </w:rPr>
        <w:t>“PIPE Transaction”</w:t>
      </w:r>
      <w:r>
        <w:rPr>
          <w:rFonts w:ascii="Arial" w:cs="Arial" w:eastAsia="Arial" w:hAnsi="Arial"/>
          <w:sz w:val="16"/>
          <w:szCs w:val="16"/>
          <w:color w:val="auto"/>
        </w:rPr>
        <w:t>) that shall have yielded Net Cash Equity Proceeds (as defined in the Third Amendment to First Lien Credit Agreement) of at least $17,000,000. The Net Cash Equity Proceeds from such PIPE Transaction shall have been applied as set forth in Section 11(b) of the Third Amendment to First Lien Credit Agreement on the terms set forth therein.</w:t>
      </w:r>
    </w:p>
    <w:p>
      <w:pPr>
        <w:spacing w:after="0" w:line="14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On the Amendment Effective Date, the representations and warranties contained herein and in the other Loan Documents shall be true and correct in all material respects on and as of the Amendment Effective Date to the same extent as though made on and as of that date, except to the extent such representations and warranties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specifically relate to an earlier date, in which case such representations and warranties shall have been true and correct in all material respects on and as of such earlier date.</w:t>
      </w:r>
    </w:p>
    <w:p>
      <w:pPr>
        <w:spacing w:after="0" w:line="170" w:lineRule="exact"/>
        <w:rPr>
          <w:sz w:val="20"/>
          <w:szCs w:val="20"/>
          <w:color w:val="auto"/>
        </w:rPr>
      </w:pPr>
    </w:p>
    <w:p>
      <w:pPr>
        <w:ind w:right="340" w:firstLine="1945"/>
        <w:spacing w:after="0" w:line="312" w:lineRule="auto"/>
        <w:rPr>
          <w:sz w:val="20"/>
          <w:szCs w:val="20"/>
          <w:color w:val="auto"/>
        </w:rPr>
      </w:pPr>
      <w:r>
        <w:rPr>
          <w:rFonts w:ascii="Arial" w:cs="Arial" w:eastAsia="Arial" w:hAnsi="Arial"/>
          <w:sz w:val="16"/>
          <w:szCs w:val="16"/>
          <w:u w:val="single" w:color="auto"/>
          <w:color w:val="auto"/>
        </w:rPr>
        <w:t>Completion of Proceedings</w:t>
      </w:r>
      <w:r>
        <w:rPr>
          <w:rFonts w:ascii="Arial" w:cs="Arial" w:eastAsia="Arial" w:hAnsi="Arial"/>
          <w:sz w:val="16"/>
          <w:szCs w:val="16"/>
          <w:color w:val="auto"/>
        </w:rPr>
        <w:t>. All partnership, corporate and other proceedings taken or to be taken in connection with the transactions contemplated hereby shall be satisfactory in form and substance to Administrative Agent and its counsel, and Administrative Agent and such counsel shall have received all such counterpart originals or certified copies of such documents as Administrative Agent may reasonably request.</w:t>
      </w:r>
    </w:p>
    <w:p>
      <w:pPr>
        <w:spacing w:after="0" w:line="147" w:lineRule="exact"/>
        <w:rPr>
          <w:sz w:val="20"/>
          <w:szCs w:val="20"/>
          <w:color w:val="auto"/>
        </w:rPr>
      </w:pPr>
    </w:p>
    <w:p>
      <w:pPr>
        <w:ind w:right="580" w:firstLine="1945"/>
        <w:spacing w:after="0" w:line="277" w:lineRule="auto"/>
        <w:rPr>
          <w:sz w:val="20"/>
          <w:szCs w:val="20"/>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On the Amendment Effective Date after giving effect to this Amendment, no event shall have occurred and be continuing that would constitute a Default or an Event of Default.</w:t>
      </w:r>
    </w:p>
    <w:p>
      <w:pPr>
        <w:spacing w:after="0" w:line="1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u w:val="single" w:color="auto"/>
          <w:color w:val="auto"/>
        </w:rPr>
        <w:t>Representations and Warranties; Reaffirmation of Grant</w:t>
      </w:r>
      <w:r>
        <w:rPr>
          <w:rFonts w:ascii="Arial" w:cs="Arial" w:eastAsia="Arial" w:hAnsi="Arial"/>
          <w:sz w:val="17"/>
          <w:szCs w:val="17"/>
          <w:color w:val="auto"/>
        </w:rPr>
        <w:t>. Each Credit Party hereby represents and warrants to the Administrative Agent and the Lenders that, as of the Amendment Effective Date and after giving effect to this Amendment, (a) all representations and warranties of the Credit Parties set forth in the Credit Agreement and in any other Loan Document are true and correct in all material respects on and as of the Amendment Effective Date to the same extent as though made on and as of such date, except to the extent such representations and warranties specifically relate to an earlier date, in which case such representations and warranties shall have been true and correct in all material respects on and as of such earlier date, (b) no Default or Event of Default has occurred and is continuing, (c) the Credit Agreement (as amended by this Amendment) and all other Loan Documents are and remain legally valid, binding obligations of the Credit Parties, enforceable against each such Credit Party in accordance with their respective terms, except as may be limited by bankruptcy, insolvency, reorganization, moratorium or similar laws relating to or limiting creditors’ rights generally or by equitable principles relating to enforceability, and (d) each of the Security Documents to which such Credit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0" w:right="259" w:bottom="464" w:gutter="0" w:footer="0" w:header="0"/>
        </w:sectPr>
      </w:pPr>
    </w:p>
    <w:bookmarkStart w:id="97" w:name="page98"/>
    <w:bookmarkEnd w:id="97"/>
    <w:p>
      <w:pPr>
        <w:ind w:right="40"/>
        <w:spacing w:after="0" w:line="279" w:lineRule="auto"/>
        <w:rPr>
          <w:sz w:val="20"/>
          <w:szCs w:val="20"/>
          <w:color w:val="auto"/>
        </w:rPr>
      </w:pPr>
      <w:r>
        <w:rPr>
          <w:rFonts w:ascii="Arial" w:cs="Arial" w:eastAsia="Arial" w:hAnsi="Arial"/>
          <w:sz w:val="17"/>
          <w:szCs w:val="17"/>
          <w:color w:val="auto"/>
        </w:rPr>
        <w:t>is a party and all of the Collateral described therein do and shall continue to secure the payment of all Obligations as set forth in such respective Security Documents. Each Credit Party that is a party to the Pledge and Security Agreement or any of the other Security Documents hereby reaffirms its grant of a security interest in the Collateral to the Administrative Agent for the ratable benefit of the Secured Parties (as defined in the Pledge and Security Agreement), as collateral security for the prompt and complete payment and performance when due of the Obligations.</w:t>
      </w:r>
    </w:p>
    <w:p>
      <w:pPr>
        <w:spacing w:after="0" w:line="17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in this Amendment or any other Loan Document shall survive the execution and delivery of this Amendment, and no investigation by the Administrative Agent or the Lenders shall affect the representations and warranties or the right of the Administrative Agent and the Lenders to rely upon them. If any representation or warranty made in this Amendment is false in any material respect as of the date made or deemed made, then such shall constitute an Event of Default under the Credit Agreement.</w:t>
      </w:r>
    </w:p>
    <w:p>
      <w:pPr>
        <w:spacing w:after="0" w:line="154"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u w:val="single" w:color="auto"/>
          <w:color w:val="auto"/>
        </w:rPr>
        <w:t>Reference to Agreement</w:t>
      </w:r>
      <w:r>
        <w:rPr>
          <w:rFonts w:ascii="Arial" w:cs="Arial" w:eastAsia="Arial" w:hAnsi="Arial"/>
          <w:sz w:val="17"/>
          <w:szCs w:val="17"/>
          <w:color w:val="auto"/>
        </w:rPr>
        <w:t>. Each of the Loan Documents, including the Credit Agreement, and any and all other agreements, documents or instruments now or hereafter executed and/or delivered pursuant to the terms hereof or pursuant to the terms of the Credit Agreement as amended hereby, are hereby amended so that any reference in such Loan Documents to the Credit Agreement, whether direct or indirect, shall mean a reference to the Credit Agreement as amended hereby. This Amendment shall constitute a Loan Document under the Credit Agreement.</w:t>
      </w:r>
    </w:p>
    <w:p>
      <w:pPr>
        <w:spacing w:after="0" w:line="17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u w:val="single" w:color="auto"/>
          <w:color w:val="auto"/>
        </w:rPr>
        <w:t>Costs and Expenses of the Lenders</w:t>
      </w:r>
      <w:r>
        <w:rPr>
          <w:rFonts w:ascii="Arial" w:cs="Arial" w:eastAsia="Arial" w:hAnsi="Arial"/>
          <w:sz w:val="18"/>
          <w:szCs w:val="18"/>
          <w:color w:val="auto"/>
        </w:rPr>
        <w:t>. Company shall pay on the Third Amendment Effective Date the fees set forth in Section 15 of the Third Amendment to First Lien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80" w:firstLine="1297"/>
        <w:spacing w:after="0" w:line="264" w:lineRule="auto"/>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HEREUNDER SHALL BE GOVERNED BY, AND SHALL BE CONSTRUED AND ENFORCED IN ACCORDANCE WITH, THE LAWS OF THE STATE OF NEW YORK WITHOUT REGARD TO CONFLICT OF LAWS PRINCIPLES THEREOF.</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by telecopier (or electronic mail (in PDF format)) shall be effective as delivery of a manually executed counterpart of this Amendment.</w:t>
      </w:r>
    </w:p>
    <w:p>
      <w:pPr>
        <w:spacing w:after="0" w:line="18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u w:val="single" w:color="auto"/>
          <w:color w:val="auto"/>
        </w:rPr>
        <w:t>Limited Effect</w:t>
      </w:r>
      <w:r>
        <w:rPr>
          <w:rFonts w:ascii="Arial" w:cs="Arial" w:eastAsia="Arial" w:hAnsi="Arial"/>
          <w:sz w:val="17"/>
          <w:szCs w:val="17"/>
          <w:color w:val="auto"/>
        </w:rPr>
        <w:t>. This Amendment relates only to the specific matters expressly covered herein, shall not be considered to be a waiver of any rights, claims or remedies the Borrower or any Lender may have under, or compliance by the Borrower or any Lender with any term or provision of, the Credit Agreement or any other Loan Document or applicable law, and shall not be considered to create a course of dealing or to otherwise obligate in any respect any Lender to execute similar or other amendments or grant any waivers under the same or similar or other circumstances in the future.</w:t>
      </w:r>
    </w:p>
    <w:p>
      <w:pPr>
        <w:spacing w:after="0" w:line="17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u w:val="single" w:color="auto"/>
          <w:color w:val="auto"/>
        </w:rPr>
        <w:t>Ratification by Guarantors</w:t>
      </w:r>
      <w:r>
        <w:rPr>
          <w:rFonts w:ascii="Arial" w:cs="Arial" w:eastAsia="Arial" w:hAnsi="Arial"/>
          <w:sz w:val="18"/>
          <w:szCs w:val="18"/>
          <w:color w:val="auto"/>
        </w:rPr>
        <w:t>. Each of the Guarantors acknowledges that its consent to this Amendment is not required, but each of the undersigned nevertheless does hereby agree and consent to this Amendment and to the documents and agreements referred to herein. Each of the Guarantors agrees and acknowledges that (i) notwithstanding the effectiveness of this Amendment, such Guarantor’s guaranty shall remain in full force and effect without modification thereto and (ii) nothing herein shall in any way limit any of the terms or provisions of such Guarantor’s guaranty or any other Loan Document executed by such Guarantor (as the same may be amended from time to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all of which are hereby ratified, confirmed and affirmed in all respects. Each of the Guarantors hereby agrees and acknowledges that no other agreement, instrument, consent or document shall be required to give effect to this section. Each of the Guarantors hereby further acknowledges that Borrower, the Administrative Agent and any Lender may from time to time enter into any further amendments, modifications, terminations and/or waivers of any provisions of the Loan Documents without notice to or consent from such Guarantor and without affecting the validity or enforceability of such Guarantor’s guaranty or giving rise to any reduction, limitation, impairment, discharge or termination of such Guarantor’s guaranty.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560" w:firstLine="127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KRATOS DEFENSE AND SECURITY SOLUTIONS, INC.</w:t>
      </w:r>
    </w:p>
    <w:p>
      <w:pPr>
        <w:spacing w:after="0" w:line="22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35159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5715</wp:posOffset>
            </wp:positionV>
            <wp:extent cx="35159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-130810</wp:posOffset>
            </wp:positionV>
            <wp:extent cx="35159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MADISON RESEARCH CORPORATION</w:t>
      </w:r>
      <w:r>
        <w:rPr>
          <w:rFonts w:ascii="Arial" w:cs="Arial" w:eastAsia="Arial" w:hAnsi="Arial"/>
          <w:sz w:val="18"/>
          <w:szCs w:val="18"/>
          <w:color w:val="auto"/>
        </w:rPr>
        <w:t>, an Alabama corporation</w:t>
      </w:r>
    </w:p>
    <w:p>
      <w:pPr>
        <w:spacing w:after="0" w:line="22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35159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5715</wp:posOffset>
            </wp:positionV>
            <wp:extent cx="35159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-130810</wp:posOffset>
            </wp:positionV>
            <wp:extent cx="35159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98" w:name="page99"/>
    <w:bookmarkEnd w:id="98"/>
    <w:p>
      <w:pPr>
        <w:ind w:left="3980" w:right="160"/>
        <w:spacing w:after="0" w:line="282" w:lineRule="auto"/>
        <w:rPr>
          <w:sz w:val="20"/>
          <w:szCs w:val="20"/>
          <w:color w:val="auto"/>
        </w:rPr>
      </w:pPr>
      <w:r>
        <w:rPr>
          <w:rFonts w:ascii="Arial" w:cs="Arial" w:eastAsia="Arial" w:hAnsi="Arial"/>
          <w:sz w:val="18"/>
          <w:szCs w:val="18"/>
          <w:b w:val="1"/>
          <w:bCs w:val="1"/>
          <w:color w:val="auto"/>
        </w:rPr>
        <w:t>KRATOS COMMERCIAL SOLUTIONS, INC</w:t>
      </w:r>
      <w:r>
        <w:rPr>
          <w:rFonts w:ascii="Arial" w:cs="Arial" w:eastAsia="Arial" w:hAnsi="Arial"/>
          <w:sz w:val="18"/>
          <w:szCs w:val="18"/>
          <w:color w:val="auto"/>
        </w:rPr>
        <w:t>.</w:t>
      </w:r>
      <w:r>
        <w:rPr>
          <w:rFonts w:ascii="Arial" w:cs="Arial" w:eastAsia="Arial" w:hAnsi="Arial"/>
          <w:sz w:val="18"/>
          <w:szCs w:val="18"/>
          <w:b w:val="1"/>
          <w:bCs w:val="1"/>
          <w:color w:val="auto"/>
        </w:rPr>
        <w:t xml:space="preserve"> (f/k/a SecurePlanet,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 xml:space="preserve">WFI NMC CORP., </w:t>
      </w:r>
      <w:r>
        <w:rPr>
          <w:rFonts w:ascii="Arial" w:cs="Arial" w:eastAsia="Arial" w:hAnsi="Arial"/>
          <w:sz w:val="18"/>
          <w:szCs w:val="18"/>
          <w:color w:val="auto"/>
        </w:rPr>
        <w:t>a Delaware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KRATOS TEXAS, INC. (f/k/a WFI Texas, Inc.)</w:t>
      </w:r>
      <w:r>
        <w:rPr>
          <w:rFonts w:ascii="Arial" w:cs="Arial" w:eastAsia="Arial" w:hAnsi="Arial"/>
          <w:sz w:val="18"/>
          <w:szCs w:val="18"/>
          <w:color w:val="auto"/>
        </w:rPr>
        <w:t>, a Texas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KRATOS SOUTHEAST, INC. (f/k/a WFI Georgia Inc.)</w:t>
      </w:r>
      <w:r>
        <w:rPr>
          <w:rFonts w:ascii="Arial" w:cs="Arial" w:eastAsia="Arial" w:hAnsi="Arial"/>
          <w:sz w:val="17"/>
          <w:szCs w:val="17"/>
          <w:color w:val="auto"/>
        </w:rPr>
        <w:t>, a Georgia corporation</w:t>
      </w: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right="380"/>
        <w:spacing w:after="0" w:line="282" w:lineRule="auto"/>
        <w:rPr>
          <w:sz w:val="20"/>
          <w:szCs w:val="20"/>
          <w:color w:val="auto"/>
        </w:rPr>
      </w:pPr>
      <w:r>
        <w:rPr>
          <w:rFonts w:ascii="Arial" w:cs="Arial" w:eastAsia="Arial" w:hAnsi="Arial"/>
          <w:sz w:val="18"/>
          <w:szCs w:val="18"/>
          <w:b w:val="1"/>
          <w:bCs w:val="1"/>
          <w:color w:val="auto"/>
        </w:rPr>
        <w:t>KRATOS MID-ATLANTIC, INC. (f/k/a WFI Delaware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right="380"/>
        <w:spacing w:after="0" w:line="282" w:lineRule="auto"/>
        <w:rPr>
          <w:sz w:val="20"/>
          <w:szCs w:val="20"/>
          <w:color w:val="auto"/>
        </w:rPr>
      </w:pPr>
      <w:r>
        <w:rPr>
          <w:rFonts w:ascii="Arial" w:cs="Arial" w:eastAsia="Arial" w:hAnsi="Arial"/>
          <w:sz w:val="18"/>
          <w:szCs w:val="18"/>
          <w:b w:val="1"/>
          <w:bCs w:val="1"/>
          <w:color w:val="auto"/>
        </w:rPr>
        <w:t>KRATOS GOVERNMENT SOLUTIONS, INC. (f/k/a WFI Government Services, Inc.)</w:t>
      </w:r>
      <w:r>
        <w:rPr>
          <w:rFonts w:ascii="Arial" w:cs="Arial" w:eastAsia="Arial" w:hAnsi="Arial"/>
          <w:sz w:val="18"/>
          <w:szCs w:val="18"/>
          <w:color w:val="auto"/>
        </w:rPr>
        <w:t>, a Delaware corporation</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DEFENSE SYSTEMS, INCORPORATED</w:t>
      </w:r>
      <w:r>
        <w:rPr>
          <w:rFonts w:ascii="Arial" w:cs="Arial" w:eastAsia="Arial" w:hAnsi="Arial"/>
          <w:sz w:val="18"/>
          <w:szCs w:val="18"/>
          <w:color w:val="auto"/>
        </w:rPr>
        <w:t>, a Virginia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JMA ASSOCIATES, INC</w:t>
      </w:r>
      <w:r>
        <w:rPr>
          <w:rFonts w:ascii="Arial" w:cs="Arial" w:eastAsia="Arial" w:hAnsi="Arial"/>
          <w:sz w:val="18"/>
          <w:szCs w:val="18"/>
          <w:color w:val="auto"/>
        </w:rPr>
        <w:t>., a Delaware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HAVERSTICK CONSULTING, INC.</w:t>
      </w:r>
      <w:r>
        <w:rPr>
          <w:rFonts w:ascii="Arial" w:cs="Arial" w:eastAsia="Arial" w:hAnsi="Arial"/>
          <w:sz w:val="18"/>
          <w:szCs w:val="18"/>
          <w:color w:val="auto"/>
        </w:rPr>
        <w:t>, an Indiana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ectPr>
          <w:pgSz w:w="11900" w:h="16838" w:orient="portrait"/>
          <w:cols w:equalWidth="0" w:num="1">
            <w:col w:w="9920"/>
          </w:cols>
          <w:pgMar w:left="1440" w:top="337" w:right="539" w:bottom="0" w:gutter="0" w:footer="0" w:header="0"/>
        </w:sectPr>
      </w:pPr>
    </w:p>
    <w:bookmarkStart w:id="99" w:name="page100"/>
    <w:bookmarkEnd w:id="99"/>
    <w:p>
      <w:pPr>
        <w:ind w:left="3980"/>
        <w:spacing w:after="0"/>
        <w:rPr>
          <w:sz w:val="20"/>
          <w:szCs w:val="20"/>
          <w:color w:val="auto"/>
        </w:rPr>
      </w:pPr>
      <w:r>
        <w:rPr>
          <w:rFonts w:ascii="Arial" w:cs="Arial" w:eastAsia="Arial" w:hAnsi="Arial"/>
          <w:sz w:val="18"/>
          <w:szCs w:val="18"/>
          <w:b w:val="1"/>
          <w:bCs w:val="1"/>
          <w:color w:val="auto"/>
        </w:rPr>
        <w:t xml:space="preserve">HGS HOLDINGS, INC., </w:t>
      </w:r>
      <w:r>
        <w:rPr>
          <w:rFonts w:ascii="Arial" w:cs="Arial" w:eastAsia="Arial" w:hAnsi="Arial"/>
          <w:sz w:val="18"/>
          <w:szCs w:val="18"/>
          <w:color w:val="auto"/>
        </w:rPr>
        <w:t>an Indiana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HAVERSTICK GOVERNMENT SOLUTIONS, INC.</w:t>
      </w:r>
      <w:r>
        <w:rPr>
          <w:rFonts w:ascii="Arial" w:cs="Arial" w:eastAsia="Arial" w:hAnsi="Arial"/>
          <w:sz w:val="18"/>
          <w:szCs w:val="18"/>
          <w:color w:val="auto"/>
        </w:rPr>
        <w:t>, an Ohio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DTI ASSOCIATES, INC.</w:t>
      </w:r>
      <w:r>
        <w:rPr>
          <w:rFonts w:ascii="Arial" w:cs="Arial" w:eastAsia="Arial" w:hAnsi="Arial"/>
          <w:sz w:val="18"/>
          <w:szCs w:val="18"/>
          <w:color w:val="auto"/>
        </w:rPr>
        <w:t>, a Virginia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ROCKET SUPPORT SERVICES, LLC</w:t>
      </w:r>
      <w:r>
        <w:rPr>
          <w:rFonts w:ascii="Arial" w:cs="Arial" w:eastAsia="Arial" w:hAnsi="Arial"/>
          <w:sz w:val="17"/>
          <w:szCs w:val="17"/>
          <w:color w:val="auto"/>
        </w:rPr>
        <w:t>, an Indiana limited liability company</w:t>
      </w: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HGS Holdings, Inc., its sole member and sole manager</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80" w:right="180"/>
        <w:spacing w:after="0" w:line="282" w:lineRule="auto"/>
        <w:rPr>
          <w:sz w:val="20"/>
          <w:szCs w:val="20"/>
          <w:color w:val="auto"/>
        </w:rPr>
      </w:pPr>
      <w:r>
        <w:rPr>
          <w:rFonts w:ascii="Arial" w:cs="Arial" w:eastAsia="Arial" w:hAnsi="Arial"/>
          <w:sz w:val="18"/>
          <w:szCs w:val="18"/>
          <w:b w:val="1"/>
          <w:bCs w:val="1"/>
          <w:color w:val="auto"/>
        </w:rPr>
        <w:t>KRATOS SOUTHWEST L.P. (f/k/a WFI Southwest L.P.)</w:t>
      </w:r>
      <w:r>
        <w:rPr>
          <w:rFonts w:ascii="Arial" w:cs="Arial" w:eastAsia="Arial" w:hAnsi="Arial"/>
          <w:sz w:val="18"/>
          <w:szCs w:val="18"/>
          <w:color w:val="auto"/>
        </w:rPr>
        <w:t>, a Texas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Kratos Texas, Inc., a Texas corporation, its General Partner</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SYS</w:t>
      </w:r>
      <w:r>
        <w:rPr>
          <w:rFonts w:ascii="Arial" w:cs="Arial" w:eastAsia="Arial" w:hAnsi="Arial"/>
          <w:sz w:val="18"/>
          <w:szCs w:val="18"/>
          <w:color w:val="auto"/>
        </w:rPr>
        <w:t>, a California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POLEXIS,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SHADOW I,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SHADOW II, INC.</w:t>
      </w:r>
      <w:r>
        <w:rPr>
          <w:rFonts w:ascii="Arial" w:cs="Arial" w:eastAsia="Arial" w:hAnsi="Arial"/>
          <w:sz w:val="18"/>
          <w:szCs w:val="18"/>
          <w:color w:val="auto"/>
        </w:rPr>
        <w:t>, a California corporation</w:t>
      </w:r>
    </w:p>
    <w:p>
      <w:pPr>
        <w:sectPr>
          <w:pgSz w:w="11900" w:h="16838" w:orient="portrait"/>
          <w:cols w:equalWidth="0" w:num="1">
            <w:col w:w="9740"/>
          </w:cols>
          <w:pgMar w:left="1440" w:top="553" w:right="719" w:bottom="0" w:gutter="0" w:footer="0" w:header="0"/>
        </w:sectPr>
      </w:pPr>
    </w:p>
    <w:bookmarkStart w:id="100" w:name="page101"/>
    <w:bookmarkEnd w:id="100"/>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SHADOW III, INC.</w:t>
      </w:r>
      <w:r>
        <w:rPr>
          <w:rFonts w:ascii="Arial" w:cs="Arial" w:eastAsia="Arial" w:hAnsi="Arial"/>
          <w:sz w:val="18"/>
          <w:szCs w:val="18"/>
          <w:color w:val="auto"/>
        </w:rPr>
        <w:t>, a California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REALITY BASED IT SERVICES, LTD.</w:t>
      </w:r>
      <w:r>
        <w:rPr>
          <w:rFonts w:ascii="Arial" w:cs="Arial" w:eastAsia="Arial" w:hAnsi="Arial"/>
          <w:sz w:val="17"/>
          <w:szCs w:val="17"/>
          <w:color w:val="auto"/>
        </w:rPr>
        <w:t>, a Maryland corporation</w:t>
      </w: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AI METRIX, INC.</w:t>
      </w:r>
      <w:r>
        <w:rPr>
          <w:rFonts w:ascii="Arial" w:cs="Arial" w:eastAsia="Arial" w:hAnsi="Arial"/>
          <w:sz w:val="18"/>
          <w:szCs w:val="18"/>
          <w:color w:val="auto"/>
        </w:rPr>
        <w:t>, a Delaware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DIGITAL FUSION, INC.</w:t>
      </w:r>
      <w:r>
        <w:rPr>
          <w:rFonts w:ascii="Arial" w:cs="Arial" w:eastAsia="Arial" w:hAnsi="Arial"/>
          <w:sz w:val="18"/>
          <w:szCs w:val="18"/>
          <w:color w:val="auto"/>
        </w:rPr>
        <w:t>, a Delaware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DIGITAL FUSION SOLUTIONS, INC.</w:t>
      </w:r>
      <w:r>
        <w:rPr>
          <w:rFonts w:ascii="Arial" w:cs="Arial" w:eastAsia="Arial" w:hAnsi="Arial"/>
          <w:sz w:val="18"/>
          <w:szCs w:val="18"/>
          <w:color w:val="auto"/>
        </w:rPr>
        <w:t>, a Florida corporation</w:t>
      </w: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SUMMIT RESEARCH CORPORATION</w:t>
      </w:r>
      <w:r>
        <w:rPr>
          <w:rFonts w:ascii="Arial" w:cs="Arial" w:eastAsia="Arial" w:hAnsi="Arial"/>
          <w:sz w:val="17"/>
          <w:szCs w:val="17"/>
          <w:color w:val="auto"/>
        </w:rPr>
        <w:t>, an Alabama corporation</w:t>
      </w: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 as Administrative Agent</w:t>
      </w: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35159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ectPr>
          <w:pgSz w:w="11900" w:h="16838" w:orient="portrait"/>
          <w:cols w:equalWidth="0" w:num="1">
            <w:col w:w="9040"/>
          </w:cols>
          <w:pgMar w:left="1440" w:top="125" w:right="1419" w:bottom="0" w:gutter="0" w:footer="0" w:header="0"/>
        </w:sectPr>
      </w:pPr>
    </w:p>
    <w:bookmarkStart w:id="101" w:name="page102"/>
    <w:bookmarkEnd w:id="101"/>
    <w:p>
      <w:pPr>
        <w:ind w:left="3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5715</wp:posOffset>
            </wp:positionV>
            <wp:extent cx="35159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-130810</wp:posOffset>
            </wp:positionV>
            <wp:extent cx="35159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Third Amendment to Second Lien Credit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Settlement Agreement and General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Third Amendment to First Lien Credit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spacing w:after="0"/>
        <w:rPr>
          <w:rFonts w:ascii="Arial" w:cs="Arial" w:eastAsia="Arial" w:hAnsi="Arial"/>
          <w:sz w:val="22"/>
          <w:szCs w:val="22"/>
          <w:color w:val="0000EE"/>
        </w:rPr>
      </w:pPr>
      <w:hyperlink w:anchor="page1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CERTIFICATION OF PRINCIPAL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04" w:name="page105"/>
    <w:bookmarkEnd w:id="104"/>
    <w:p>
      <w:pPr>
        <w:spacing w:after="0"/>
        <w:rPr>
          <w:rFonts w:ascii="Arial" w:cs="Arial" w:eastAsia="Arial" w:hAnsi="Arial"/>
          <w:sz w:val="22"/>
          <w:szCs w:val="22"/>
          <w:color w:val="0000EE"/>
        </w:rPr>
      </w:pPr>
      <w:hyperlink w:anchor="page1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5">
        <w:r>
          <w:rPr>
            <w:rFonts w:ascii="Arial" w:cs="Arial" w:eastAsia="Arial" w:hAnsi="Arial"/>
            <w:sz w:val="16"/>
            <w:szCs w:val="16"/>
            <w:u w:val="single" w:color="auto"/>
            <w:color w:val="0000EE"/>
          </w:rPr>
          <w:t>CERTIFICATION OF PRINCIPAL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06" w:name="page107"/>
    <w:bookmarkEnd w:id="106"/>
    <w:p>
      <w:pPr>
        <w:spacing w:after="0"/>
        <w:rPr>
          <w:rFonts w:ascii="Arial" w:cs="Arial" w:eastAsia="Arial" w:hAnsi="Arial"/>
          <w:sz w:val="22"/>
          <w:szCs w:val="22"/>
          <w:color w:val="0000EE"/>
        </w:rPr>
      </w:pPr>
      <w:hyperlink w:anchor="page1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27, 2009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2009</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108" w:name="page109"/>
    <w:bookmarkEnd w:id="108"/>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27,2009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3, 2009</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lowerLetter"/>
      <w:start w:val="6"/>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lowerLetter"/>
      <w:start w:val="10"/>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upperLetter"/>
      <w:start w:val="1"/>
    </w:lvl>
  </w:abstractNum>
  <w:abstractNum w:abstractNumId="30">
    <w:nsid w:val="51EAD36B"/>
    <w:multiLevelType w:val="hybridMultilevel"/>
    <w:lvl w:ilvl="0">
      <w:lvlJc w:val="left"/>
      <w:lvlText w:val="%1."/>
      <w:numFmt w:val="upperLetter"/>
      <w:start w:val="5"/>
    </w:lvl>
  </w:abstractNum>
  <w:abstractNum w:abstractNumId="31">
    <w:nsid w:val="2D517796"/>
    <w:multiLevelType w:val="hybridMultilevel"/>
    <w:lvl w:ilvl="0">
      <w:lvlJc w:val="left"/>
      <w:lvlText w:val="%1."/>
      <w:numFmt w:val="upperLetter"/>
      <w:start w:val="7"/>
    </w:lvl>
  </w:abstractNum>
  <w:abstractNum w:abstractNumId="32">
    <w:nsid w:val="580BD78F"/>
    <w:multiLevelType w:val="hybridMultilevel"/>
    <w:lvl w:ilvl="0">
      <w:lvlJc w:val="left"/>
      <w:lvlText w:val="%1."/>
      <w:numFmt w:val="decimal"/>
      <w:start w:val="1"/>
    </w:lvl>
    <w:lvl w:ilvl="1">
      <w:lvlJc w:val="left"/>
      <w:lvlText w:val="(%2)"/>
      <w:numFmt w:val="lowerLetter"/>
      <w:start w:val="1"/>
    </w:lvl>
  </w:abstractNum>
  <w:abstractNum w:abstractNumId="33">
    <w:nsid w:val="153EA438"/>
    <w:multiLevelType w:val="hybridMultilevel"/>
    <w:lvl w:ilvl="0">
      <w:lvlJc w:val="left"/>
      <w:lvlText w:val="(%1)"/>
      <w:numFmt w:val="lowerRoman"/>
      <w:start w:val="2"/>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Roman"/>
      <w:start w:val="2"/>
    </w:lvl>
  </w:abstractNum>
  <w:abstractNum w:abstractNumId="38">
    <w:nsid w:val="1D4ED43B"/>
    <w:multiLevelType w:val="hybridMultilevel"/>
    <w:lvl w:ilvl="0">
      <w:lvlJc w:val="left"/>
      <w:lvlText w:val="%1."/>
      <w:numFmt w:val="decimal"/>
      <w:start w:val="6"/>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10"/>
    </w:lvl>
  </w:abstractNum>
  <w:abstractNum w:abstractNumId="40">
    <w:nsid w:val="2CD89A32"/>
    <w:multiLevelType w:val="hybridMultilevel"/>
    <w:lvl w:ilvl="0">
      <w:lvlJc w:val="left"/>
      <w:lvlText w:val="%1."/>
      <w:numFmt w:val="decimal"/>
      <w:start w:val="8"/>
    </w:lvl>
    <w:lvl w:ilvl="1">
      <w:lvlJc w:val="left"/>
      <w:lvlText w:val="%2"/>
      <w:numFmt w:val="lowerLetter"/>
      <w:start w:val="1"/>
    </w:lvl>
  </w:abstractNum>
  <w:abstractNum w:abstractNumId="41">
    <w:nsid w:val="57E4CCAF"/>
    <w:multiLevelType w:val="hybridMultilevel"/>
    <w:lvl w:ilvl="0">
      <w:lvlJc w:val="left"/>
      <w:lvlText w:val="%1."/>
      <w:numFmt w:val="decimal"/>
      <w:start w:val="9"/>
    </w:lvl>
  </w:abstractNum>
  <w:abstractNum w:abstractNumId="42">
    <w:nsid w:val="7A6D8D3C"/>
    <w:multiLevelType w:val="hybridMultilevel"/>
    <w:lvl w:ilvl="0">
      <w:lvlJc w:val="left"/>
      <w:lvlText w:val="%1."/>
      <w:numFmt w:val="decimal"/>
      <w:start w:val="11"/>
    </w:lvl>
  </w:abstractNum>
  <w:abstractNum w:abstractNumId="43">
    <w:nsid w:val="4B588F54"/>
    <w:multiLevelType w:val="hybridMultilevel"/>
    <w:lvl w:ilvl="0">
      <w:lvlJc w:val="left"/>
      <w:lvlText w:val="%1."/>
      <w:numFmt w:val="decimal"/>
      <w:start w:val="13"/>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2019-12-10T18:01:31Z</dcterms:created>
  <dcterms:modified xsi:type="dcterms:W3CDTF">2019-12-10T18:01:31Z</dcterms:modified>
</cp:coreProperties>
</file>